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中国农工民主党河北省委员会2019</w:t>
      </w:r>
      <w:r>
        <w:rPr>
          <w:rFonts w:ascii="Times New Roman" w:hAnsi="Times New Roman" w:eastAsia="方正小标宋_GBK" w:cs="Times New Roman"/>
          <w:sz w:val="44"/>
          <w:szCs w:val="44"/>
        </w:rPr>
        <w:t>年部门预算信息公开</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w:t>
      </w:r>
      <w:r>
        <w:rPr>
          <w:rFonts w:hint="eastAsia" w:ascii="Times New Roman" w:hAnsi="Times New Roman" w:eastAsia="方正仿宋_GBK" w:cs="Times New Roman"/>
          <w:sz w:val="32"/>
          <w:szCs w:val="32"/>
        </w:rPr>
        <w:t>《中华人民共和国预算法》、</w:t>
      </w:r>
      <w:r>
        <w:rPr>
          <w:rFonts w:ascii="Times New Roman" w:hAnsi="Times New Roman" w:eastAsia="方正仿宋_GBK" w:cs="Times New Roman"/>
          <w:sz w:val="32"/>
          <w:szCs w:val="32"/>
        </w:rPr>
        <w:t>《地方预决算公开操作规程》和《河北省省级预算公开办法》</w:t>
      </w:r>
      <w:r>
        <w:rPr>
          <w:rFonts w:hint="eastAsia" w:ascii="Times New Roman" w:hAnsi="Times New Roman" w:eastAsia="方正仿宋_GBK" w:cs="Times New Roman"/>
          <w:sz w:val="32"/>
          <w:szCs w:val="32"/>
        </w:rPr>
        <w:t>规定</w:t>
      </w:r>
      <w:r>
        <w:rPr>
          <w:rFonts w:ascii="Times New Roman" w:hAnsi="Times New Roman" w:eastAsia="方正仿宋_GBK" w:cs="Times New Roman"/>
          <w:sz w:val="32"/>
          <w:szCs w:val="32"/>
        </w:rPr>
        <w:t>，现将</w:t>
      </w:r>
      <w:r>
        <w:rPr>
          <w:rFonts w:hint="eastAsia" w:ascii="Times New Roman" w:hAnsi="Times New Roman" w:eastAsia="方正仿宋_GBK" w:cs="Times New Roman"/>
          <w:sz w:val="32"/>
          <w:szCs w:val="32"/>
        </w:rPr>
        <w:t>中国农工民主党河北省委员会2019</w:t>
      </w:r>
      <w:r>
        <w:rPr>
          <w:rFonts w:ascii="Times New Roman" w:hAnsi="Times New Roman" w:eastAsia="方正仿宋_GBK" w:cs="Times New Roman"/>
          <w:sz w:val="32"/>
          <w:szCs w:val="32"/>
        </w:rPr>
        <w:t>年部门预算公开如下：</w:t>
      </w:r>
    </w:p>
    <w:p>
      <w:pPr>
        <w:ind w:firstLine="640"/>
        <w:rPr>
          <w:rFonts w:ascii="黑体" w:hAnsi="黑体" w:eastAsia="黑体" w:cs="Times New Roman"/>
          <w:sz w:val="32"/>
          <w:szCs w:val="32"/>
        </w:rPr>
      </w:pPr>
      <w:r>
        <w:rPr>
          <w:rFonts w:hint="eastAsia" w:ascii="黑体" w:hAnsi="黑体" w:eastAsia="黑体" w:cs="Times New Roman"/>
          <w:sz w:val="32"/>
          <w:szCs w:val="32"/>
        </w:rPr>
        <w:t>一、部门职责及机构设置情况</w:t>
      </w:r>
    </w:p>
    <w:p>
      <w:pPr>
        <w:ind w:firstLine="640" w:firstLineChars="200"/>
        <w:rPr>
          <w:rFonts w:ascii="Times New Roman" w:hAnsi="Times New Roman" w:eastAsia="方正仿宋_GBK" w:cs="Times New Roman"/>
          <w:b/>
          <w:sz w:val="32"/>
          <w:szCs w:val="32"/>
        </w:rPr>
      </w:pPr>
      <w:r>
        <w:rPr>
          <w:rFonts w:hint="eastAsia" w:ascii="Times New Roman" w:hAnsi="Times New Roman" w:eastAsia="方正仿宋_GBK" w:cs="Times New Roman"/>
          <w:b/>
          <w:sz w:val="32"/>
          <w:szCs w:val="32"/>
        </w:rPr>
        <w:t>部门</w:t>
      </w:r>
      <w:r>
        <w:rPr>
          <w:rFonts w:ascii="Times New Roman" w:hAnsi="Times New Roman" w:eastAsia="方正仿宋_GBK" w:cs="Times New Roman"/>
          <w:b/>
          <w:sz w:val="32"/>
          <w:szCs w:val="32"/>
        </w:rPr>
        <w:t>职责：</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中国农工民主党（简称农工党），是以医药卫生、人口资源和生态环境领域高中级知识分子为主、具有政治联盟特点、致力于中国特色社会主义事业的参政党，是同中国共产党通力合作的亲密友党。农工党河北省委成立于1984年，截止到</w:t>
      </w:r>
      <w:r>
        <w:rPr>
          <w:rFonts w:hint="eastAsia" w:ascii="Times New Roman" w:hAnsi="Times New Roman" w:eastAsia="方正仿宋_GBK" w:cs="Times New Roman"/>
          <w:sz w:val="32"/>
          <w:szCs w:val="32"/>
        </w:rPr>
        <w:t>2018</w:t>
      </w:r>
      <w:r>
        <w:rPr>
          <w:rFonts w:ascii="Times New Roman" w:hAnsi="Times New Roman" w:eastAsia="方正仿宋_GBK" w:cs="Times New Roman"/>
          <w:sz w:val="32"/>
          <w:szCs w:val="32"/>
        </w:rPr>
        <w:t>年底，农工党全省共有党员</w:t>
      </w:r>
      <w:r>
        <w:rPr>
          <w:rFonts w:hint="eastAsia" w:ascii="Times New Roman" w:hAnsi="Times New Roman" w:eastAsia="方正仿宋_GBK" w:cs="Times New Roman"/>
          <w:sz w:val="32"/>
          <w:szCs w:val="32"/>
        </w:rPr>
        <w:t>4465</w:t>
      </w:r>
      <w:r>
        <w:rPr>
          <w:rFonts w:ascii="Times New Roman" w:hAnsi="Times New Roman" w:eastAsia="方正仿宋_GBK" w:cs="Times New Roman"/>
          <w:sz w:val="32"/>
          <w:szCs w:val="32"/>
        </w:rPr>
        <w:t>人，其中医药卫生、人口资源和环境保护界党员2</w:t>
      </w:r>
      <w:r>
        <w:rPr>
          <w:rFonts w:hint="eastAsia" w:ascii="Times New Roman" w:hAnsi="Times New Roman" w:eastAsia="方正仿宋_GBK" w:cs="Times New Roman"/>
          <w:sz w:val="32"/>
          <w:szCs w:val="32"/>
        </w:rPr>
        <w:t>911</w:t>
      </w:r>
      <w:r>
        <w:rPr>
          <w:rFonts w:ascii="Times New Roman" w:hAnsi="Times New Roman" w:eastAsia="方正仿宋_GBK" w:cs="Times New Roman"/>
          <w:sz w:val="32"/>
          <w:szCs w:val="32"/>
        </w:rPr>
        <w:t>人，占党员总数的6</w:t>
      </w:r>
      <w:r>
        <w:rPr>
          <w:rFonts w:hint="eastAsia" w:ascii="Times New Roman" w:hAnsi="Times New Roman" w:eastAsia="方正仿宋_GBK" w:cs="Times New Roman"/>
          <w:sz w:val="32"/>
          <w:szCs w:val="32"/>
        </w:rPr>
        <w:t>5.2</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在</w:t>
      </w:r>
      <w:r>
        <w:rPr>
          <w:rFonts w:ascii="Times New Roman" w:hAnsi="Times New Roman" w:eastAsia="方正仿宋_GBK" w:cs="Times New Roman"/>
          <w:sz w:val="32"/>
          <w:szCs w:val="32"/>
        </w:rPr>
        <w:t>现阶段：农工党坚持把推动科学发展作为参政议政的第一要务，紧紧围绕全面建成小康社会的目标，充分发挥在医药卫生、人口资源和生态保护领域的独特优势，深入调查研究，反映社情民意，积极参加与执政党的政治协商和民主监督，认真参政议政、建言献策，在国家政治生活中发挥了重要作用，取得了显著成绩</w:t>
      </w:r>
      <w:r>
        <w:rPr>
          <w:rFonts w:hint="eastAsia" w:ascii="Times New Roman" w:hAnsi="Times New Roman" w:eastAsia="方正仿宋_GBK" w:cs="Times New Roman"/>
          <w:sz w:val="32"/>
          <w:szCs w:val="32"/>
        </w:rPr>
        <w:t>。</w:t>
      </w:r>
    </w:p>
    <w:p>
      <w:pPr>
        <w:ind w:firstLine="64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本部门为正厅级单位，内设机构为办公室、组织部、宣传部、社会服务部（含参政议政部）。截至2018年底，本部门</w:t>
      </w:r>
      <w:r>
        <w:rPr>
          <w:rFonts w:ascii="Times New Roman" w:hAnsi="Times New Roman" w:eastAsia="方正仿宋_GBK" w:cs="Times New Roman"/>
          <w:sz w:val="32"/>
          <w:szCs w:val="32"/>
        </w:rPr>
        <w:t>编制人数1</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实有人数</w:t>
      </w:r>
      <w:r>
        <w:rPr>
          <w:rFonts w:hint="eastAsia" w:ascii="Times New Roman" w:hAnsi="Times New Roman" w:eastAsia="方正仿宋_GBK" w:cs="Times New Roman"/>
          <w:sz w:val="32"/>
          <w:szCs w:val="32"/>
        </w:rPr>
        <w:t>15</w:t>
      </w:r>
      <w:r>
        <w:rPr>
          <w:rFonts w:ascii="Times New Roman" w:hAnsi="Times New Roman" w:eastAsia="方正仿宋_GBK" w:cs="Times New Roman"/>
          <w:sz w:val="32"/>
          <w:szCs w:val="32"/>
        </w:rPr>
        <w:t>人，其中：在职人数1</w:t>
      </w: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人；退休人员</w:t>
      </w:r>
      <w:r>
        <w:rPr>
          <w:rFonts w:hint="eastAsia" w:ascii="Times New Roman" w:hAnsi="Times New Roman" w:eastAsia="方正仿宋_GBK" w:cs="Times New Roman"/>
          <w:sz w:val="32"/>
          <w:szCs w:val="32"/>
        </w:rPr>
        <w:t>12</w:t>
      </w:r>
      <w:r>
        <w:rPr>
          <w:rFonts w:ascii="Times New Roman" w:hAnsi="Times New Roman" w:eastAsia="方正仿宋_GBK" w:cs="Times New Roman"/>
          <w:sz w:val="32"/>
          <w:szCs w:val="32"/>
        </w:rPr>
        <w:t>人。</w:t>
      </w:r>
    </w:p>
    <w:p>
      <w:pPr>
        <w:autoSpaceDE w:val="0"/>
        <w:autoSpaceDN w:val="0"/>
        <w:adjustRightInd w:val="0"/>
        <w:ind w:left="198" w:firstLine="640" w:firstLineChars="200"/>
        <w:jc w:val="left"/>
        <w:rPr>
          <w:rFonts w:ascii="方正仿宋_GBK" w:hAnsi="Times New Roman" w:eastAsia="方正仿宋_GBK" w:cs="Times New Roman"/>
          <w:b/>
          <w:sz w:val="32"/>
          <w:szCs w:val="32"/>
        </w:rPr>
      </w:pPr>
      <w:r>
        <w:rPr>
          <w:rFonts w:hint="eastAsia" w:ascii="方正仿宋_GBK" w:hAnsi="Times New Roman" w:eastAsia="方正仿宋_GBK" w:cs="Times New Roman"/>
          <w:b/>
          <w:sz w:val="32"/>
          <w:szCs w:val="32"/>
        </w:rPr>
        <w:t>机构设置：</w:t>
      </w:r>
    </w:p>
    <w:p>
      <w:pPr>
        <w:jc w:val="center"/>
        <w:outlineLvl w:val="0"/>
        <w:rPr>
          <w:rFonts w:ascii="Times New Roman" w:hAnsi="Times New Roman" w:eastAsia="方正小标宋_GBK" w:cs="Times New Roman"/>
          <w:sz w:val="32"/>
          <w:szCs w:val="24"/>
        </w:rPr>
      </w:pPr>
    </w:p>
    <w:p>
      <w:pPr>
        <w:jc w:val="center"/>
        <w:outlineLvl w:val="0"/>
        <w:rPr>
          <w:rFonts w:ascii="Times New Roman" w:hAnsi="Times New Roman" w:eastAsia="方正小标宋_GBK" w:cs="Times New Roman"/>
          <w:sz w:val="32"/>
          <w:szCs w:val="24"/>
        </w:rPr>
      </w:pPr>
      <w:r>
        <w:rPr>
          <w:rFonts w:ascii="Times New Roman" w:hAnsi="Times New Roman" w:eastAsia="方正小标宋_GBK" w:cs="Times New Roman"/>
          <w:sz w:val="32"/>
          <w:szCs w:val="24"/>
        </w:rPr>
        <w:t>部门</w:t>
      </w:r>
      <w:r>
        <w:rPr>
          <w:rFonts w:hint="eastAsia" w:ascii="Times New Roman" w:hAnsi="Times New Roman" w:eastAsia="方正小标宋_GBK" w:cs="Times New Roman"/>
          <w:sz w:val="32"/>
          <w:szCs w:val="24"/>
        </w:rPr>
        <w:t>机构设置情况</w:t>
      </w:r>
    </w:p>
    <w:tbl>
      <w:tblPr>
        <w:tblStyle w:val="11"/>
        <w:tblW w:w="9755" w:type="dxa"/>
        <w:jc w:val="center"/>
        <w:tblInd w:w="-6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4443" w:type="dxa"/>
            <w:vMerge w:val="restart"/>
            <w:shd w:val="clear" w:color="auto" w:fill="auto"/>
            <w:vAlign w:val="center"/>
          </w:tcPr>
          <w:p>
            <w:pPr>
              <w:spacing w:line="300" w:lineRule="exact"/>
              <w:jc w:val="center"/>
              <w:rPr>
                <w:rFonts w:ascii="Times New Roman" w:hAnsi="Times New Roman" w:eastAsia="方正书宋_GBK" w:cs="Times New Roman"/>
                <w:b/>
                <w:szCs w:val="24"/>
              </w:rPr>
            </w:pPr>
            <w:r>
              <w:rPr>
                <w:rFonts w:ascii="Times New Roman" w:hAnsi="Times New Roman" w:eastAsia="方正书宋_GBK" w:cs="Times New Roman"/>
                <w:b/>
                <w:szCs w:val="24"/>
              </w:rPr>
              <w:t>单位名称</w:t>
            </w:r>
          </w:p>
        </w:tc>
        <w:tc>
          <w:tcPr>
            <w:tcW w:w="1134" w:type="dxa"/>
            <w:vMerge w:val="restart"/>
            <w:shd w:val="clear" w:color="auto" w:fill="auto"/>
            <w:vAlign w:val="center"/>
          </w:tcPr>
          <w:p>
            <w:pPr>
              <w:spacing w:line="300" w:lineRule="exact"/>
              <w:jc w:val="center"/>
              <w:rPr>
                <w:rFonts w:ascii="Times New Roman" w:hAnsi="Times New Roman" w:eastAsia="方正书宋_GBK" w:cs="Times New Roman"/>
                <w:b/>
                <w:szCs w:val="24"/>
              </w:rPr>
            </w:pPr>
            <w:r>
              <w:rPr>
                <w:rFonts w:ascii="Times New Roman" w:hAnsi="Times New Roman" w:eastAsia="方正书宋_GBK" w:cs="Times New Roman"/>
                <w:b/>
                <w:szCs w:val="24"/>
              </w:rPr>
              <w:t>单位性质</w:t>
            </w:r>
          </w:p>
        </w:tc>
        <w:tc>
          <w:tcPr>
            <w:tcW w:w="1276" w:type="dxa"/>
            <w:vMerge w:val="restart"/>
            <w:shd w:val="clear" w:color="auto" w:fill="auto"/>
            <w:vAlign w:val="center"/>
          </w:tcPr>
          <w:p>
            <w:pPr>
              <w:spacing w:line="300" w:lineRule="exact"/>
              <w:jc w:val="center"/>
              <w:rPr>
                <w:rFonts w:ascii="Times New Roman" w:hAnsi="Times New Roman" w:eastAsia="方正书宋_GBK" w:cs="Times New Roman"/>
                <w:b/>
                <w:szCs w:val="24"/>
              </w:rPr>
            </w:pPr>
            <w:r>
              <w:rPr>
                <w:rFonts w:ascii="Times New Roman" w:hAnsi="Times New Roman" w:eastAsia="方正书宋_GBK" w:cs="Times New Roman"/>
                <w:b/>
                <w:szCs w:val="24"/>
              </w:rPr>
              <w:t>单位规格</w:t>
            </w:r>
          </w:p>
        </w:tc>
        <w:tc>
          <w:tcPr>
            <w:tcW w:w="2902" w:type="dxa"/>
            <w:vMerge w:val="restart"/>
            <w:shd w:val="clear" w:color="auto" w:fill="auto"/>
            <w:vAlign w:val="center"/>
          </w:tcPr>
          <w:p>
            <w:pPr>
              <w:spacing w:line="300" w:lineRule="exact"/>
              <w:jc w:val="center"/>
              <w:rPr>
                <w:rFonts w:ascii="Times New Roman" w:hAnsi="Times New Roman" w:eastAsia="方正书宋_GBK" w:cs="Times New Roman"/>
                <w:b/>
                <w:szCs w:val="24"/>
              </w:rPr>
            </w:pPr>
            <w:r>
              <w:rPr>
                <w:rFonts w:ascii="Times New Roman" w:hAnsi="Times New Roman" w:eastAsia="方正书宋_GBK"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00" w:hRule="atLeast"/>
          <w:tblHeader/>
          <w:jc w:val="center"/>
        </w:trPr>
        <w:tc>
          <w:tcPr>
            <w:tcW w:w="4443" w:type="dxa"/>
            <w:vMerge w:val="continue"/>
            <w:shd w:val="clear" w:color="auto" w:fill="auto"/>
            <w:vAlign w:val="center"/>
          </w:tcPr>
          <w:p>
            <w:pPr>
              <w:spacing w:line="300" w:lineRule="exact"/>
              <w:jc w:val="left"/>
              <w:outlineLvl w:val="0"/>
              <w:rPr>
                <w:rFonts w:ascii="Times New Roman" w:hAnsi="Times New Roman" w:eastAsia="宋体" w:cs="Times New Roman"/>
                <w:szCs w:val="24"/>
              </w:rPr>
            </w:pPr>
          </w:p>
        </w:tc>
        <w:tc>
          <w:tcPr>
            <w:tcW w:w="1134" w:type="dxa"/>
            <w:vMerge w:val="continue"/>
            <w:shd w:val="clear" w:color="auto" w:fill="auto"/>
            <w:vAlign w:val="center"/>
          </w:tcPr>
          <w:p>
            <w:pPr>
              <w:spacing w:line="300" w:lineRule="exact"/>
              <w:jc w:val="left"/>
              <w:outlineLvl w:val="0"/>
              <w:rPr>
                <w:rFonts w:ascii="Times New Roman" w:hAnsi="Times New Roman" w:eastAsia="宋体" w:cs="Times New Roman"/>
                <w:szCs w:val="24"/>
              </w:rPr>
            </w:pPr>
          </w:p>
        </w:tc>
        <w:tc>
          <w:tcPr>
            <w:tcW w:w="1276" w:type="dxa"/>
            <w:vMerge w:val="continue"/>
            <w:shd w:val="clear" w:color="auto" w:fill="auto"/>
            <w:vAlign w:val="center"/>
          </w:tcPr>
          <w:p>
            <w:pPr>
              <w:spacing w:line="300" w:lineRule="exact"/>
              <w:jc w:val="left"/>
              <w:outlineLvl w:val="0"/>
              <w:rPr>
                <w:rFonts w:ascii="Times New Roman" w:hAnsi="Times New Roman" w:eastAsia="宋体" w:cs="Times New Roman"/>
                <w:szCs w:val="24"/>
              </w:rPr>
            </w:pPr>
          </w:p>
        </w:tc>
        <w:tc>
          <w:tcPr>
            <w:tcW w:w="2902" w:type="dxa"/>
            <w:vMerge w:val="continue"/>
            <w:shd w:val="clear" w:color="auto" w:fill="auto"/>
            <w:vAlign w:val="center"/>
          </w:tcPr>
          <w:p>
            <w:pPr>
              <w:spacing w:line="300" w:lineRule="exact"/>
              <w:jc w:val="left"/>
              <w:outlineLvl w:val="0"/>
              <w:rPr>
                <w:rFonts w:ascii="Times New Roman" w:hAnsi="Times New Roman" w:eastAsia="宋体" w:cs="Times New Roman"/>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14" w:hRule="atLeast"/>
          <w:jc w:val="center"/>
        </w:trPr>
        <w:tc>
          <w:tcPr>
            <w:tcW w:w="4443" w:type="dxa"/>
            <w:shd w:val="clear" w:color="auto" w:fill="auto"/>
            <w:vAlign w:val="center"/>
          </w:tcPr>
          <w:p>
            <w:pPr>
              <w:spacing w:line="300" w:lineRule="exact"/>
              <w:jc w:val="center"/>
              <w:rPr>
                <w:rFonts w:ascii="Times New Roman" w:hAnsi="Times New Roman" w:eastAsia="方正书宋_GBK" w:cs="Times New Roman"/>
                <w:szCs w:val="24"/>
              </w:rPr>
            </w:pPr>
            <w:r>
              <w:rPr>
                <w:rFonts w:hint="eastAsia" w:ascii="Times New Roman" w:hAnsi="Times New Roman" w:eastAsia="方正书宋_GBK" w:cs="Times New Roman"/>
                <w:szCs w:val="24"/>
              </w:rPr>
              <w:t>中国农工民主党河北省委员会</w:t>
            </w:r>
          </w:p>
        </w:tc>
        <w:tc>
          <w:tcPr>
            <w:tcW w:w="1134" w:type="dxa"/>
            <w:shd w:val="clear" w:color="auto" w:fill="auto"/>
            <w:vAlign w:val="center"/>
          </w:tcPr>
          <w:p>
            <w:pPr>
              <w:spacing w:line="300" w:lineRule="exact"/>
              <w:jc w:val="center"/>
              <w:rPr>
                <w:rFonts w:ascii="Times New Roman" w:hAnsi="Times New Roman" w:eastAsia="方正书宋_GBK" w:cs="Times New Roman"/>
                <w:szCs w:val="24"/>
              </w:rPr>
            </w:pPr>
            <w:r>
              <w:rPr>
                <w:rFonts w:hint="eastAsia" w:ascii="Times New Roman" w:hAnsi="Times New Roman" w:eastAsia="方正书宋_GBK" w:cs="Times New Roman"/>
                <w:szCs w:val="24"/>
              </w:rPr>
              <w:t>行政机关</w:t>
            </w:r>
          </w:p>
        </w:tc>
        <w:tc>
          <w:tcPr>
            <w:tcW w:w="1276" w:type="dxa"/>
            <w:shd w:val="clear" w:color="auto" w:fill="auto"/>
            <w:vAlign w:val="center"/>
          </w:tcPr>
          <w:p>
            <w:pPr>
              <w:spacing w:line="300" w:lineRule="exact"/>
              <w:jc w:val="center"/>
              <w:rPr>
                <w:rFonts w:ascii="Times New Roman" w:hAnsi="Times New Roman" w:eastAsia="方正书宋_GBK" w:cs="Times New Roman"/>
                <w:szCs w:val="24"/>
              </w:rPr>
            </w:pPr>
            <w:r>
              <w:rPr>
                <w:rFonts w:hint="eastAsia" w:ascii="Times New Roman" w:hAnsi="Times New Roman" w:eastAsia="方正书宋_GBK" w:cs="Times New Roman"/>
                <w:szCs w:val="24"/>
              </w:rPr>
              <w:t>正厅级</w:t>
            </w:r>
          </w:p>
        </w:tc>
        <w:tc>
          <w:tcPr>
            <w:tcW w:w="2902" w:type="dxa"/>
            <w:shd w:val="clear" w:color="auto" w:fill="auto"/>
            <w:vAlign w:val="center"/>
          </w:tcPr>
          <w:p>
            <w:pPr>
              <w:spacing w:line="300" w:lineRule="exact"/>
              <w:jc w:val="center"/>
              <w:rPr>
                <w:rFonts w:ascii="Times New Roman" w:hAnsi="Times New Roman" w:eastAsia="方正书宋_GBK" w:cs="Times New Roman"/>
                <w:szCs w:val="24"/>
              </w:rPr>
            </w:pPr>
            <w:r>
              <w:rPr>
                <w:rFonts w:hint="eastAsia" w:ascii="Times New Roman" w:hAnsi="Times New Roman" w:eastAsia="方正书宋_GBK" w:cs="Times New Roman"/>
                <w:szCs w:val="24"/>
              </w:rPr>
              <w:t>财政拨款</w:t>
            </w:r>
          </w:p>
        </w:tc>
      </w:tr>
    </w:tbl>
    <w:p>
      <w:pPr>
        <w:ind w:firstLine="640"/>
        <w:rPr>
          <w:rFonts w:ascii="黑体" w:hAnsi="黑体" w:eastAsia="黑体" w:cs="Times New Roman"/>
          <w:sz w:val="32"/>
          <w:szCs w:val="32"/>
        </w:rPr>
      </w:pPr>
      <w:r>
        <w:rPr>
          <w:rFonts w:hint="eastAsia" w:ascii="黑体" w:hAnsi="黑体" w:eastAsia="黑体" w:cs="Times New Roman"/>
          <w:sz w:val="32"/>
          <w:szCs w:val="32"/>
        </w:rPr>
        <w:t>二、部门预算安排的总体情况</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按照预算管理有关规定，目前我省部门预算的编制实行综合预算</w:t>
      </w:r>
      <w:r>
        <w:rPr>
          <w:rFonts w:hint="eastAsia" w:ascii="Times New Roman" w:hAnsi="Times New Roman" w:eastAsia="方正仿宋_GBK" w:cs="Times New Roman"/>
          <w:sz w:val="32"/>
          <w:szCs w:val="32"/>
        </w:rPr>
        <w:t>管理，</w:t>
      </w:r>
      <w:r>
        <w:rPr>
          <w:rFonts w:ascii="Times New Roman" w:hAnsi="Times New Roman" w:eastAsia="方正仿宋_GBK" w:cs="Times New Roman"/>
          <w:sz w:val="32"/>
          <w:szCs w:val="32"/>
        </w:rPr>
        <w:t>即全部收入和支出都反映</w:t>
      </w:r>
      <w:r>
        <w:rPr>
          <w:rFonts w:hint="eastAsia" w:ascii="Times New Roman" w:hAnsi="Times New Roman" w:eastAsia="方正仿宋_GBK" w:cs="Times New Roman"/>
          <w:sz w:val="32"/>
          <w:szCs w:val="32"/>
        </w:rPr>
        <w:t>在</w:t>
      </w:r>
      <w:r>
        <w:rPr>
          <w:rFonts w:ascii="Times New Roman" w:hAnsi="Times New Roman" w:eastAsia="方正仿宋_GBK" w:cs="Times New Roman"/>
          <w:sz w:val="32"/>
          <w:szCs w:val="32"/>
        </w:rPr>
        <w:t>预算中。</w:t>
      </w:r>
      <w:r>
        <w:rPr>
          <w:rFonts w:hint="eastAsia" w:ascii="Times New Roman" w:hAnsi="Times New Roman" w:eastAsia="方正仿宋_GBK" w:cs="Times New Roman"/>
          <w:sz w:val="32"/>
          <w:szCs w:val="32"/>
        </w:rPr>
        <w:t>中国农工民主党河北省委员会</w:t>
      </w:r>
      <w:r>
        <w:rPr>
          <w:rFonts w:ascii="Times New Roman" w:hAnsi="Times New Roman" w:eastAsia="方正仿宋_GBK" w:cs="Times New Roman"/>
          <w:sz w:val="32"/>
          <w:szCs w:val="32"/>
        </w:rPr>
        <w:t>机关及所属事业单位的收支包含在部门预算中。</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1、收入说明</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反映本部门当年全部收入。</w:t>
      </w:r>
      <w:r>
        <w:rPr>
          <w:rFonts w:hint="eastAsia" w:ascii="Times New Roman" w:hAnsi="Times New Roman" w:eastAsia="方正仿宋_GBK" w:cs="Times New Roman"/>
          <w:sz w:val="32"/>
          <w:szCs w:val="32"/>
        </w:rPr>
        <w:t>2019</w:t>
      </w:r>
      <w:r>
        <w:rPr>
          <w:rFonts w:ascii="Times New Roman" w:hAnsi="Times New Roman" w:eastAsia="方正仿宋_GBK" w:cs="Times New Roman"/>
          <w:sz w:val="32"/>
          <w:szCs w:val="32"/>
        </w:rPr>
        <w:t>年预算收入</w:t>
      </w:r>
      <w:r>
        <w:rPr>
          <w:rFonts w:hint="eastAsia" w:ascii="Times New Roman" w:hAnsi="Times New Roman" w:eastAsia="方正仿宋_GBK" w:cs="Times New Roman"/>
          <w:sz w:val="32"/>
          <w:szCs w:val="32"/>
        </w:rPr>
        <w:t>455.72</w:t>
      </w:r>
      <w:r>
        <w:rPr>
          <w:rFonts w:ascii="Times New Roman" w:hAnsi="Times New Roman" w:eastAsia="方正仿宋_GBK" w:cs="Times New Roman"/>
          <w:sz w:val="32"/>
          <w:szCs w:val="32"/>
        </w:rPr>
        <w:t>万元，其中：一般公共预算收入</w:t>
      </w:r>
      <w:r>
        <w:rPr>
          <w:rFonts w:hint="eastAsia" w:ascii="Times New Roman" w:hAnsi="Times New Roman" w:eastAsia="方正仿宋_GBK" w:cs="Times New Roman"/>
          <w:sz w:val="32"/>
          <w:szCs w:val="32"/>
        </w:rPr>
        <w:t>455.72</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基金预算</w:t>
      </w:r>
      <w:r>
        <w:rPr>
          <w:rFonts w:ascii="Times New Roman" w:hAnsi="Times New Roman" w:eastAsia="方正仿宋_GBK" w:cs="Times New Roman"/>
          <w:sz w:val="32"/>
          <w:szCs w:val="32"/>
        </w:rPr>
        <w:t>收入</w:t>
      </w:r>
      <w:r>
        <w:rPr>
          <w:rFonts w:hint="eastAsia" w:ascii="Times New Roman" w:hAnsi="Times New Roman" w:eastAsia="方正仿宋_GBK" w:cs="Times New Roman"/>
          <w:sz w:val="32"/>
          <w:szCs w:val="32"/>
        </w:rPr>
        <w:t>0</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财政专户核拨收入0</w:t>
      </w:r>
      <w:r>
        <w:rPr>
          <w:rFonts w:ascii="Times New Roman" w:hAnsi="Times New Roman" w:eastAsia="方正仿宋_GBK" w:cs="Times New Roman"/>
          <w:sz w:val="32"/>
          <w:szCs w:val="32"/>
        </w:rPr>
        <w:t>万元</w:t>
      </w:r>
      <w:r>
        <w:rPr>
          <w:rFonts w:hint="eastAsia" w:ascii="Times New Roman" w:hAnsi="Times New Roman" w:eastAsia="方正仿宋_GBK" w:cs="Times New Roman"/>
          <w:sz w:val="32"/>
          <w:szCs w:val="32"/>
        </w:rPr>
        <w:t>，其他来源收入0万元。</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2、支出说明</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收支预算总表支出栏、基本支出表、项目支出表按经济分类和支出功能分类科目编制，反映</w:t>
      </w:r>
      <w:r>
        <w:rPr>
          <w:rFonts w:hint="eastAsia" w:ascii="Times New Roman" w:hAnsi="Times New Roman" w:eastAsia="方正仿宋_GBK" w:cs="Times New Roman"/>
          <w:sz w:val="32"/>
          <w:szCs w:val="32"/>
        </w:rPr>
        <w:t>中国农工民主党河北省委员会</w:t>
      </w:r>
      <w:r>
        <w:rPr>
          <w:rFonts w:ascii="Times New Roman" w:hAnsi="Times New Roman" w:eastAsia="方正仿宋_GBK" w:cs="Times New Roman"/>
          <w:sz w:val="32"/>
          <w:szCs w:val="32"/>
        </w:rPr>
        <w:t>年度部门预算中支出预算的总体情况。</w:t>
      </w:r>
      <w:r>
        <w:rPr>
          <w:rFonts w:hint="eastAsia" w:ascii="Times New Roman" w:hAnsi="Times New Roman" w:eastAsia="方正仿宋_GBK" w:cs="Times New Roman"/>
          <w:sz w:val="32"/>
          <w:szCs w:val="32"/>
        </w:rPr>
        <w:t>2019</w:t>
      </w:r>
      <w:r>
        <w:rPr>
          <w:rFonts w:ascii="Times New Roman" w:hAnsi="Times New Roman" w:eastAsia="方正仿宋_GBK" w:cs="Times New Roman"/>
          <w:sz w:val="32"/>
          <w:szCs w:val="32"/>
        </w:rPr>
        <w:t>年支出预算</w:t>
      </w:r>
      <w:r>
        <w:rPr>
          <w:rFonts w:hint="eastAsia" w:ascii="Times New Roman" w:hAnsi="Times New Roman" w:eastAsia="方正仿宋_GBK" w:cs="Times New Roman"/>
          <w:sz w:val="32"/>
          <w:szCs w:val="32"/>
        </w:rPr>
        <w:t>455.72</w:t>
      </w:r>
      <w:r>
        <w:rPr>
          <w:rFonts w:ascii="Times New Roman" w:hAnsi="Times New Roman" w:eastAsia="方正仿宋_GBK" w:cs="Times New Roman"/>
          <w:sz w:val="32"/>
          <w:szCs w:val="32"/>
        </w:rPr>
        <w:t>万元，其中基本支出</w:t>
      </w:r>
      <w:r>
        <w:rPr>
          <w:rFonts w:hint="eastAsia" w:ascii="Times New Roman" w:hAnsi="Times New Roman" w:eastAsia="方正仿宋_GBK" w:cs="Times New Roman"/>
          <w:sz w:val="32"/>
          <w:szCs w:val="32"/>
        </w:rPr>
        <w:t>381.44</w:t>
      </w:r>
      <w:r>
        <w:rPr>
          <w:rFonts w:ascii="Times New Roman" w:hAnsi="Times New Roman" w:eastAsia="方正仿宋_GBK" w:cs="Times New Roman"/>
          <w:sz w:val="32"/>
          <w:szCs w:val="32"/>
        </w:rPr>
        <w:t>万元，包括人员经费</w:t>
      </w:r>
      <w:r>
        <w:rPr>
          <w:rFonts w:hint="eastAsia" w:ascii="Times New Roman" w:hAnsi="Times New Roman" w:eastAsia="方正仿宋_GBK" w:cs="Times New Roman"/>
          <w:sz w:val="32"/>
          <w:szCs w:val="32"/>
        </w:rPr>
        <w:t>291.06万元</w:t>
      </w:r>
      <w:r>
        <w:rPr>
          <w:rFonts w:ascii="Times New Roman" w:hAnsi="Times New Roman" w:eastAsia="方正仿宋_GBK" w:cs="Times New Roman"/>
          <w:sz w:val="32"/>
          <w:szCs w:val="32"/>
        </w:rPr>
        <w:t>和日常公用经费</w:t>
      </w:r>
      <w:r>
        <w:rPr>
          <w:rFonts w:hint="eastAsia" w:ascii="Times New Roman" w:hAnsi="Times New Roman" w:eastAsia="方正仿宋_GBK" w:cs="Times New Roman"/>
          <w:sz w:val="32"/>
          <w:szCs w:val="32"/>
        </w:rPr>
        <w:t>90.38万元</w:t>
      </w:r>
      <w:r>
        <w:rPr>
          <w:rFonts w:ascii="Times New Roman" w:hAnsi="Times New Roman" w:eastAsia="方正仿宋_GBK" w:cs="Times New Roman"/>
          <w:sz w:val="32"/>
          <w:szCs w:val="32"/>
        </w:rPr>
        <w:t>；项目支出</w:t>
      </w:r>
      <w:r>
        <w:rPr>
          <w:rFonts w:hint="eastAsia" w:ascii="Times New Roman" w:hAnsi="Times New Roman" w:eastAsia="方正仿宋_GBK" w:cs="Times New Roman"/>
          <w:sz w:val="32"/>
          <w:szCs w:val="32"/>
        </w:rPr>
        <w:t>74.28</w:t>
      </w:r>
      <w:r>
        <w:rPr>
          <w:rFonts w:ascii="Times New Roman" w:hAnsi="Times New Roman" w:eastAsia="方正仿宋_GBK" w:cs="Times New Roman"/>
          <w:sz w:val="32"/>
          <w:szCs w:val="32"/>
        </w:rPr>
        <w:t>万元，为</w:t>
      </w:r>
      <w:r>
        <w:rPr>
          <w:rFonts w:hint="eastAsia" w:ascii="Times New Roman" w:hAnsi="Times New Roman" w:eastAsia="方正仿宋_GBK" w:cs="Times New Roman"/>
          <w:sz w:val="32"/>
          <w:szCs w:val="32"/>
        </w:rPr>
        <w:t>参政议政及业务活动经费、民主党派专项经费（中央提前下达资金）、退休省级主委、不驻会主副委、党员活动经费。</w:t>
      </w:r>
    </w:p>
    <w:p>
      <w:pPr>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3、比上年增减情况</w:t>
      </w:r>
    </w:p>
    <w:p>
      <w:pPr>
        <w:ind w:firstLine="640"/>
        <w:rPr>
          <w:rFonts w:ascii="仿宋_GB2312" w:hAnsi="黑体" w:eastAsia="仿宋_GB2312" w:cs="Times New Roman"/>
          <w:sz w:val="32"/>
          <w:szCs w:val="32"/>
        </w:rPr>
      </w:pPr>
      <w:r>
        <w:rPr>
          <w:rFonts w:hint="eastAsia" w:ascii="Times New Roman" w:hAnsi="Times New Roman" w:eastAsia="方正仿宋_GBK" w:cs="Times New Roman"/>
          <w:sz w:val="32"/>
          <w:szCs w:val="32"/>
        </w:rPr>
        <w:t>2019</w:t>
      </w:r>
      <w:r>
        <w:rPr>
          <w:rFonts w:ascii="Times New Roman" w:hAnsi="Times New Roman" w:eastAsia="方正仿宋_GBK" w:cs="Times New Roman"/>
          <w:sz w:val="32"/>
          <w:szCs w:val="32"/>
        </w:rPr>
        <w:t>年预算收支安排</w:t>
      </w:r>
      <w:r>
        <w:rPr>
          <w:rFonts w:hint="eastAsia" w:ascii="Times New Roman" w:hAnsi="Times New Roman" w:eastAsia="方正仿宋_GBK" w:cs="Times New Roman"/>
          <w:sz w:val="32"/>
          <w:szCs w:val="32"/>
        </w:rPr>
        <w:t>508.62</w:t>
      </w:r>
      <w:r>
        <w:rPr>
          <w:rFonts w:ascii="Times New Roman" w:hAnsi="Times New Roman" w:eastAsia="方正仿宋_GBK" w:cs="Times New Roman"/>
          <w:sz w:val="32"/>
          <w:szCs w:val="32"/>
        </w:rPr>
        <w:t>万元，较</w:t>
      </w:r>
      <w:r>
        <w:rPr>
          <w:rFonts w:hint="eastAsia" w:ascii="Times New Roman" w:hAnsi="Times New Roman" w:eastAsia="方正仿宋_GBK" w:cs="Times New Roman"/>
          <w:sz w:val="32"/>
          <w:szCs w:val="32"/>
        </w:rPr>
        <w:t>2018</w:t>
      </w:r>
      <w:r>
        <w:rPr>
          <w:rFonts w:ascii="Times New Roman" w:hAnsi="Times New Roman" w:eastAsia="方正仿宋_GBK" w:cs="Times New Roman"/>
          <w:sz w:val="32"/>
          <w:szCs w:val="32"/>
        </w:rPr>
        <w:t>年预算</w:t>
      </w:r>
      <w:r>
        <w:rPr>
          <w:rFonts w:hint="eastAsia" w:ascii="Times New Roman" w:hAnsi="Times New Roman" w:eastAsia="方正仿宋_GBK" w:cs="Times New Roman"/>
          <w:sz w:val="32"/>
          <w:szCs w:val="32"/>
        </w:rPr>
        <w:t>减少52.9</w:t>
      </w:r>
      <w:r>
        <w:rPr>
          <w:rFonts w:ascii="Times New Roman" w:hAnsi="Times New Roman" w:eastAsia="方正仿宋_GBK" w:cs="Times New Roman"/>
          <w:sz w:val="32"/>
          <w:szCs w:val="32"/>
        </w:rPr>
        <w:t>万元，其中：基本支出</w:t>
      </w:r>
      <w:r>
        <w:rPr>
          <w:rFonts w:hint="eastAsia" w:ascii="Times New Roman" w:hAnsi="Times New Roman" w:eastAsia="方正仿宋_GBK" w:cs="Times New Roman"/>
          <w:sz w:val="32"/>
          <w:szCs w:val="32"/>
        </w:rPr>
        <w:t>减少54.9</w:t>
      </w:r>
      <w:r>
        <w:rPr>
          <w:rFonts w:ascii="Times New Roman" w:hAnsi="Times New Roman" w:eastAsia="方正仿宋_GBK" w:cs="Times New Roman"/>
          <w:sz w:val="32"/>
          <w:szCs w:val="32"/>
        </w:rPr>
        <w:t>万元，主要为人员经费支出</w:t>
      </w:r>
      <w:r>
        <w:rPr>
          <w:rFonts w:hint="eastAsia" w:ascii="Times New Roman" w:hAnsi="Times New Roman" w:eastAsia="方正仿宋_GBK" w:cs="Times New Roman"/>
          <w:sz w:val="32"/>
          <w:szCs w:val="32"/>
        </w:rPr>
        <w:t>减少</w:t>
      </w:r>
      <w:r>
        <w:rPr>
          <w:rFonts w:ascii="Times New Roman" w:hAnsi="Times New Roman" w:eastAsia="方正仿宋_GBK" w:cs="Times New Roman"/>
          <w:sz w:val="32"/>
          <w:szCs w:val="32"/>
        </w:rPr>
        <w:t>；项目支出</w:t>
      </w:r>
      <w:r>
        <w:rPr>
          <w:rFonts w:hint="eastAsia" w:ascii="Times New Roman" w:hAnsi="Times New Roman" w:eastAsia="方正仿宋_GBK" w:cs="Times New Roman"/>
          <w:sz w:val="32"/>
          <w:szCs w:val="32"/>
        </w:rPr>
        <w:t>较2018年增加2万元</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主要为增加的退休省级主委活动经费</w:t>
      </w:r>
      <w:r>
        <w:rPr>
          <w:rFonts w:ascii="Times New Roman" w:hAnsi="Times New Roman" w:eastAsia="方正仿宋_GBK" w:cs="Times New Roman"/>
          <w:sz w:val="32"/>
          <w:szCs w:val="32"/>
        </w:rPr>
        <w:t>。</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三、机关运行经费安排情况</w:t>
      </w:r>
    </w:p>
    <w:p>
      <w:pPr>
        <w:autoSpaceDE w:val="0"/>
        <w:autoSpaceDN w:val="0"/>
        <w:adjustRightInd w:val="0"/>
        <w:ind w:left="198"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2019年，我委员会</w:t>
      </w:r>
      <w:r>
        <w:rPr>
          <w:rFonts w:ascii="Times New Roman" w:hAnsi="Times New Roman" w:eastAsia="方正仿宋_GBK" w:cs="Times New Roman"/>
          <w:sz w:val="32"/>
          <w:szCs w:val="32"/>
        </w:rPr>
        <w:t>机关</w:t>
      </w:r>
      <w:r>
        <w:rPr>
          <w:rFonts w:hint="eastAsia" w:ascii="Times New Roman" w:hAnsi="Times New Roman" w:eastAsia="方正仿宋_GBK" w:cs="Times New Roman"/>
          <w:sz w:val="32"/>
          <w:szCs w:val="32"/>
        </w:rPr>
        <w:t>运行经费共计安排90.38万元</w:t>
      </w:r>
      <w:r>
        <w:rPr>
          <w:rFonts w:ascii="Times New Roman" w:hAnsi="Times New Roman" w:eastAsia="方正仿宋_GBK" w:cs="Times New Roman"/>
          <w:sz w:val="32"/>
          <w:szCs w:val="32"/>
        </w:rPr>
        <w:t>，主要用于</w:t>
      </w:r>
      <w:r>
        <w:rPr>
          <w:rFonts w:hint="eastAsia" w:ascii="Times New Roman" w:hAnsi="Times New Roman" w:eastAsia="方正仿宋_GBK" w:cs="Times New Roman"/>
          <w:sz w:val="32"/>
          <w:szCs w:val="32"/>
        </w:rPr>
        <w:t>办公费、差旅费、邮电费等</w:t>
      </w:r>
      <w:r>
        <w:rPr>
          <w:rFonts w:ascii="Times New Roman" w:hAnsi="Times New Roman" w:eastAsia="方正仿宋_GBK" w:cs="Times New Roman"/>
          <w:sz w:val="32"/>
          <w:szCs w:val="32"/>
        </w:rPr>
        <w:t>日常运行支出</w:t>
      </w:r>
      <w:r>
        <w:rPr>
          <w:rFonts w:hint="eastAsia" w:ascii="Times New Roman" w:hAnsi="Times New Roman" w:eastAsia="方正仿宋_GBK" w:cs="Times New Roman"/>
          <w:sz w:val="32"/>
          <w:szCs w:val="32"/>
        </w:rPr>
        <w:t>。</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四、财政拨款</w:t>
      </w:r>
      <w:r>
        <w:rPr>
          <w:rFonts w:ascii="黑体" w:hAnsi="黑体" w:eastAsia="黑体" w:cs="Times New Roman"/>
          <w:sz w:val="32"/>
          <w:szCs w:val="32"/>
        </w:rPr>
        <w:t>“</w:t>
      </w:r>
      <w:r>
        <w:rPr>
          <w:rFonts w:hint="eastAsia" w:ascii="黑体" w:hAnsi="黑体" w:eastAsia="黑体" w:cs="Times New Roman"/>
          <w:sz w:val="32"/>
          <w:szCs w:val="32"/>
        </w:rPr>
        <w:t>三公</w:t>
      </w:r>
      <w:r>
        <w:rPr>
          <w:rFonts w:ascii="黑体" w:hAnsi="黑体" w:eastAsia="黑体" w:cs="Times New Roman"/>
          <w:sz w:val="32"/>
          <w:szCs w:val="32"/>
        </w:rPr>
        <w:t>”</w:t>
      </w:r>
      <w:r>
        <w:rPr>
          <w:rFonts w:hint="eastAsia" w:ascii="黑体" w:hAnsi="黑体" w:eastAsia="黑体" w:cs="Times New Roman"/>
          <w:sz w:val="32"/>
          <w:szCs w:val="32"/>
        </w:rPr>
        <w:t>经费预算情况及增减变化原因</w:t>
      </w:r>
    </w:p>
    <w:p>
      <w:pPr>
        <w:autoSpaceDE w:val="0"/>
        <w:autoSpaceDN w:val="0"/>
        <w:adjustRightInd w:val="0"/>
        <w:ind w:left="198"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2019</w:t>
      </w:r>
      <w:r>
        <w:rPr>
          <w:rFonts w:ascii="Times New Roman" w:hAnsi="Times New Roman" w:eastAsia="方正仿宋_GBK" w:cs="Times New Roman"/>
          <w:sz w:val="32"/>
          <w:szCs w:val="32"/>
        </w:rPr>
        <w:t>年，我</w:t>
      </w:r>
      <w:r>
        <w:rPr>
          <w:rFonts w:hint="eastAsia" w:ascii="Times New Roman" w:hAnsi="Times New Roman" w:eastAsia="方正仿宋_GBK" w:cs="Times New Roman"/>
          <w:sz w:val="32"/>
          <w:szCs w:val="32"/>
        </w:rPr>
        <w:t>部门</w:t>
      </w:r>
      <w:r>
        <w:rPr>
          <w:rFonts w:ascii="Times New Roman" w:hAnsi="Times New Roman" w:eastAsia="方正仿宋_GBK" w:cs="Times New Roman"/>
          <w:sz w:val="32"/>
          <w:szCs w:val="32"/>
        </w:rPr>
        <w:t>财政拨款“三公”经费预算安排</w:t>
      </w:r>
      <w:r>
        <w:rPr>
          <w:rFonts w:hint="eastAsia" w:ascii="Times New Roman" w:hAnsi="Times New Roman" w:eastAsia="方正仿宋_GBK" w:cs="Times New Roman"/>
          <w:sz w:val="32"/>
          <w:szCs w:val="32"/>
        </w:rPr>
        <w:t>15.32</w:t>
      </w:r>
      <w:r>
        <w:rPr>
          <w:rFonts w:ascii="Times New Roman" w:hAnsi="Times New Roman" w:eastAsia="方正仿宋_GBK" w:cs="Times New Roman"/>
          <w:sz w:val="32"/>
          <w:szCs w:val="32"/>
        </w:rPr>
        <w:t>万元，其中因公出国（境）费</w:t>
      </w:r>
      <w:r>
        <w:rPr>
          <w:rFonts w:hint="eastAsia" w:ascii="Times New Roman" w:hAnsi="Times New Roman" w:eastAsia="方正仿宋_GBK" w:cs="Times New Roman"/>
          <w:sz w:val="32"/>
          <w:szCs w:val="32"/>
        </w:rPr>
        <w:t>7.5</w:t>
      </w:r>
      <w:r>
        <w:rPr>
          <w:rFonts w:ascii="Times New Roman" w:hAnsi="Times New Roman" w:eastAsia="方正仿宋_GBK" w:cs="Times New Roman"/>
          <w:sz w:val="32"/>
          <w:szCs w:val="32"/>
        </w:rPr>
        <w:t>万元；公务用车购置及运维费</w:t>
      </w:r>
      <w:r>
        <w:rPr>
          <w:rFonts w:hint="eastAsia" w:ascii="Times New Roman" w:hAnsi="Times New Roman" w:eastAsia="方正仿宋_GBK" w:cs="Times New Roman"/>
          <w:sz w:val="32"/>
          <w:szCs w:val="32"/>
        </w:rPr>
        <w:t>6.12</w:t>
      </w:r>
      <w:r>
        <w:rPr>
          <w:rFonts w:ascii="Times New Roman" w:hAnsi="Times New Roman" w:eastAsia="方正仿宋_GBK" w:cs="Times New Roman"/>
          <w:sz w:val="32"/>
          <w:szCs w:val="32"/>
        </w:rPr>
        <w:t>万元（其中：公务用车购置费为</w:t>
      </w:r>
      <w:r>
        <w:rPr>
          <w:rFonts w:hint="eastAsia" w:ascii="Times New Roman" w:hAnsi="Times New Roman" w:eastAsia="方正仿宋_GBK" w:cs="Times New Roman"/>
          <w:sz w:val="32"/>
          <w:szCs w:val="32"/>
        </w:rPr>
        <w:t>0万元</w:t>
      </w:r>
      <w:r>
        <w:rPr>
          <w:rFonts w:ascii="Times New Roman" w:hAnsi="Times New Roman" w:eastAsia="方正仿宋_GBK" w:cs="Times New Roman"/>
          <w:sz w:val="32"/>
          <w:szCs w:val="32"/>
        </w:rPr>
        <w:t>，公务用车运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w:t>
      </w:r>
      <w:r>
        <w:rPr>
          <w:rFonts w:hint="eastAsia" w:ascii="Times New Roman" w:hAnsi="Times New Roman" w:eastAsia="方正仿宋_GBK" w:cs="Times New Roman"/>
          <w:sz w:val="32"/>
          <w:szCs w:val="32"/>
        </w:rPr>
        <w:t>6.12</w:t>
      </w:r>
      <w:r>
        <w:rPr>
          <w:rFonts w:ascii="Times New Roman" w:hAnsi="Times New Roman" w:eastAsia="方正仿宋_GBK" w:cs="Times New Roman"/>
          <w:sz w:val="32"/>
          <w:szCs w:val="32"/>
        </w:rPr>
        <w:t>万元)；公务接待费</w:t>
      </w:r>
      <w:r>
        <w:rPr>
          <w:rFonts w:hint="eastAsia" w:ascii="Times New Roman" w:hAnsi="Times New Roman" w:eastAsia="方正仿宋_GBK" w:cs="Times New Roman"/>
          <w:sz w:val="32"/>
          <w:szCs w:val="32"/>
        </w:rPr>
        <w:t>1.7</w:t>
      </w:r>
      <w:r>
        <w:rPr>
          <w:rFonts w:ascii="Times New Roman" w:hAnsi="Times New Roman" w:eastAsia="方正仿宋_GBK" w:cs="Times New Roman"/>
          <w:sz w:val="32"/>
          <w:szCs w:val="32"/>
        </w:rPr>
        <w:t>万元。与</w:t>
      </w:r>
      <w:r>
        <w:rPr>
          <w:rFonts w:hint="eastAsia" w:ascii="Times New Roman" w:hAnsi="Times New Roman" w:eastAsia="方正仿宋_GBK" w:cs="Times New Roman"/>
          <w:sz w:val="32"/>
          <w:szCs w:val="32"/>
        </w:rPr>
        <w:t>2018</w:t>
      </w:r>
      <w:r>
        <w:rPr>
          <w:rFonts w:ascii="Times New Roman" w:hAnsi="Times New Roman" w:eastAsia="方正仿宋_GBK" w:cs="Times New Roman"/>
          <w:sz w:val="32"/>
          <w:szCs w:val="32"/>
        </w:rPr>
        <w:t>年</w:t>
      </w:r>
      <w:r>
        <w:rPr>
          <w:rFonts w:hint="eastAsia" w:ascii="Times New Roman" w:hAnsi="Times New Roman" w:eastAsia="方正仿宋_GBK" w:cs="Times New Roman"/>
          <w:sz w:val="32"/>
          <w:szCs w:val="32"/>
        </w:rPr>
        <w:t>相比</w:t>
      </w:r>
      <w:r>
        <w:rPr>
          <w:rFonts w:ascii="Times New Roman" w:hAnsi="Times New Roman" w:eastAsia="方正仿宋_GBK" w:cs="Times New Roman"/>
          <w:sz w:val="32"/>
          <w:szCs w:val="32"/>
        </w:rPr>
        <w:t>持平，无增减变化。</w:t>
      </w:r>
    </w:p>
    <w:p>
      <w:pPr>
        <w:ind w:firstLine="640"/>
        <w:rPr>
          <w:rFonts w:ascii="黑体" w:hAnsi="黑体" w:eastAsia="黑体" w:cs="Times New Roman"/>
          <w:sz w:val="32"/>
          <w:szCs w:val="32"/>
        </w:rPr>
      </w:pPr>
      <w:r>
        <w:rPr>
          <w:rFonts w:hint="eastAsia" w:ascii="黑体" w:hAnsi="黑体" w:eastAsia="黑体" w:cs="Times New Roman"/>
          <w:sz w:val="32"/>
          <w:szCs w:val="32"/>
        </w:rPr>
        <w:t>五、绩效预算信息</w:t>
      </w:r>
    </w:p>
    <w:p>
      <w:pPr>
        <w:spacing w:line="500" w:lineRule="exact"/>
        <w:ind w:firstLine="570"/>
        <w:jc w:val="left"/>
        <w:rPr>
          <w:rFonts w:hint="eastAsia" w:ascii="Times New Roman" w:hAnsi="Times New Roman" w:eastAsia="方正仿宋_GBK" w:cs="Times New Roman"/>
          <w:b/>
          <w:sz w:val="32"/>
          <w:szCs w:val="32"/>
        </w:rPr>
      </w:pPr>
      <w:r>
        <w:rPr>
          <w:rFonts w:ascii="Times New Roman" w:hAnsi="Times New Roman" w:eastAsia="方正仿宋_GBK" w:cs="Times New Roman"/>
          <w:b/>
          <w:sz w:val="32"/>
          <w:szCs w:val="32"/>
        </w:rPr>
        <w:t>总体绩效目标：</w:t>
      </w:r>
    </w:p>
    <w:p>
      <w:pPr>
        <w:spacing w:line="500" w:lineRule="exact"/>
        <w:ind w:firstLine="570"/>
        <w:jc w:val="left"/>
        <w:rPr>
          <w:rFonts w:ascii="Times New Roman" w:hAnsi="Times New Roman" w:eastAsia="方正楷体_GBK"/>
          <w:b/>
          <w:sz w:val="28"/>
        </w:rPr>
      </w:pPr>
      <w:r>
        <w:rPr>
          <w:rFonts w:ascii="Times New Roman" w:hAnsi="Times New Roman" w:eastAsia="方正楷体_GBK"/>
          <w:b/>
          <w:sz w:val="28"/>
        </w:rPr>
        <w:t xml:space="preserve"> </w:t>
      </w:r>
      <w:r>
        <w:rPr>
          <w:rFonts w:ascii="方正仿宋_GBK" w:eastAsia="方正仿宋_GBK"/>
          <w:sz w:val="28"/>
        </w:rPr>
        <w:t>以习近平新时代中国特色社会主义思想为指导，深入学习中共十九大、十九届二中、三中全会和中共省委九届历次全会精神，团结带领全省各级组织和广大党员，紧紧围绕中共中央和中共河北省委的决策部署，积极做好农工党全省各项工作，为加快建设新时代经济强省、美丽河北做出应有的贡献。</w:t>
      </w:r>
    </w:p>
    <w:p>
      <w:pPr>
        <w:spacing w:line="500" w:lineRule="exact"/>
        <w:ind w:firstLine="560"/>
        <w:rPr>
          <w:rFonts w:ascii="方正仿宋_GBK" w:eastAsia="方正仿宋_GBK"/>
          <w:sz w:val="28"/>
        </w:rPr>
      </w:pPr>
      <w:r>
        <w:rPr>
          <w:rFonts w:ascii="方正仿宋_GBK" w:eastAsia="方正仿宋_GBK"/>
          <w:sz w:val="28"/>
        </w:rPr>
        <w:t>一、坚持正确的政治方向，深入开展思想建设</w:t>
      </w:r>
    </w:p>
    <w:p>
      <w:pPr>
        <w:spacing w:line="500" w:lineRule="exact"/>
        <w:ind w:firstLine="560"/>
        <w:rPr>
          <w:rFonts w:ascii="方正仿宋_GBK" w:eastAsia="方正仿宋_GBK"/>
          <w:sz w:val="28"/>
        </w:rPr>
      </w:pPr>
      <w:r>
        <w:rPr>
          <w:rFonts w:ascii="方正仿宋_GBK" w:eastAsia="方正仿宋_GBK"/>
          <w:sz w:val="28"/>
        </w:rPr>
        <w:t>二、积极履行参政党职能，进一步做好参政议政工作</w:t>
      </w:r>
    </w:p>
    <w:p>
      <w:pPr>
        <w:spacing w:line="500" w:lineRule="exact"/>
        <w:ind w:firstLine="560"/>
        <w:rPr>
          <w:rFonts w:ascii="方正仿宋_GBK" w:eastAsia="方正仿宋_GBK"/>
          <w:sz w:val="28"/>
        </w:rPr>
      </w:pPr>
      <w:r>
        <w:rPr>
          <w:rFonts w:ascii="方正仿宋_GBK" w:eastAsia="方正仿宋_GBK"/>
          <w:sz w:val="28"/>
        </w:rPr>
        <w:t>三、发挥自身优势，广泛开展</w:t>
      </w:r>
      <w:r>
        <w:fldChar w:fldCharType="begin"/>
      </w:r>
      <w:r>
        <w:instrText xml:space="preserve"> HYPERLINK "http://www.qzmm.gov.cn/Article/shfw/13_Index.html" </w:instrText>
      </w:r>
      <w:r>
        <w:fldChar w:fldCharType="separate"/>
      </w:r>
      <w:r>
        <w:rPr>
          <w:rStyle w:val="9"/>
          <w:rFonts w:ascii="方正仿宋_GBK" w:eastAsia="方正仿宋_GBK"/>
          <w:color w:val="auto"/>
          <w:sz w:val="28"/>
          <w:u w:val="none"/>
        </w:rPr>
        <w:t>社会服务</w:t>
      </w:r>
      <w:r>
        <w:rPr>
          <w:rStyle w:val="9"/>
          <w:rFonts w:ascii="方正仿宋_GBK" w:eastAsia="方正仿宋_GBK"/>
          <w:color w:val="auto"/>
          <w:sz w:val="28"/>
          <w:u w:val="none"/>
        </w:rPr>
        <w:fldChar w:fldCharType="end"/>
      </w:r>
      <w:r>
        <w:rPr>
          <w:rFonts w:ascii="方正仿宋_GBK" w:eastAsia="方正仿宋_GBK"/>
          <w:sz w:val="28"/>
        </w:rPr>
        <w:t>工作</w:t>
      </w:r>
    </w:p>
    <w:p>
      <w:pPr>
        <w:spacing w:line="500" w:lineRule="exact"/>
        <w:ind w:firstLine="560"/>
        <w:rPr>
          <w:rFonts w:ascii="方正仿宋_GBK" w:eastAsia="方正仿宋_GBK"/>
          <w:sz w:val="28"/>
        </w:rPr>
      </w:pPr>
      <w:r>
        <w:rPr>
          <w:rFonts w:ascii="方正仿宋_GBK" w:eastAsia="方正仿宋_GBK"/>
          <w:sz w:val="28"/>
        </w:rPr>
        <w:t>四、贯彻落实“人才强党战略”，全面加强组织建设</w:t>
      </w:r>
    </w:p>
    <w:p>
      <w:pPr>
        <w:spacing w:line="500" w:lineRule="exact"/>
        <w:jc w:val="left"/>
        <w:rPr>
          <w:rFonts w:ascii="Times New Roman" w:hAnsi="Times New Roman" w:eastAsia="方正楷体_GBK"/>
          <w:b/>
          <w:sz w:val="28"/>
        </w:rPr>
      </w:pPr>
      <w:r>
        <w:rPr>
          <w:rFonts w:ascii="Times New Roman" w:hAnsi="Times New Roman" w:eastAsia="方正楷体_GBK"/>
          <w:b/>
          <w:sz w:val="28"/>
        </w:rPr>
        <w:t xml:space="preserve">    职责分类绩效目标：</w:t>
      </w:r>
    </w:p>
    <w:p>
      <w:pPr>
        <w:spacing w:line="500" w:lineRule="exact"/>
        <w:ind w:firstLine="560"/>
        <w:rPr>
          <w:rFonts w:ascii="方正仿宋_GBK" w:eastAsia="方正仿宋_GBK"/>
          <w:sz w:val="28"/>
        </w:rPr>
      </w:pPr>
      <w:r>
        <w:rPr>
          <w:rFonts w:ascii="方正仿宋_GBK" w:eastAsia="方正仿宋_GBK"/>
          <w:sz w:val="28"/>
        </w:rPr>
        <w:t>（一）参政议政调研</w:t>
      </w:r>
    </w:p>
    <w:p>
      <w:pPr>
        <w:spacing w:line="500" w:lineRule="exact"/>
        <w:ind w:firstLine="560"/>
        <w:rPr>
          <w:rFonts w:ascii="方正仿宋_GBK" w:eastAsia="方正仿宋_GBK"/>
          <w:sz w:val="28"/>
        </w:rPr>
      </w:pPr>
      <w:r>
        <w:rPr>
          <w:rFonts w:ascii="方正仿宋_GBK" w:eastAsia="方正仿宋_GBK"/>
          <w:sz w:val="28"/>
        </w:rPr>
        <w:t>1、增强组织凝聚力和社会影响力，提升参政议政水平，帮助弱势群体，为国家治理和社会发展建言献策，助力经济发展。</w:t>
      </w:r>
    </w:p>
    <w:p>
      <w:pPr>
        <w:spacing w:line="500" w:lineRule="exact"/>
        <w:ind w:firstLine="560"/>
        <w:rPr>
          <w:rFonts w:ascii="方正仿宋_GBK" w:eastAsia="方正仿宋_GBK"/>
          <w:sz w:val="28"/>
        </w:rPr>
      </w:pPr>
      <w:r>
        <w:rPr>
          <w:rFonts w:ascii="方正仿宋_GBK" w:eastAsia="方正仿宋_GBK"/>
          <w:sz w:val="28"/>
        </w:rPr>
        <w:t>2、打造社会服务品牌，加强海外交流，致力边远地区脱贫致富，推进新农村建设和社会发展。</w:t>
      </w:r>
    </w:p>
    <w:p>
      <w:pPr>
        <w:spacing w:line="500" w:lineRule="exact"/>
        <w:ind w:firstLine="560"/>
        <w:rPr>
          <w:rFonts w:ascii="方正仿宋_GBK" w:eastAsia="方正仿宋_GBK"/>
          <w:sz w:val="28"/>
        </w:rPr>
      </w:pPr>
      <w:r>
        <w:rPr>
          <w:rFonts w:ascii="方正仿宋_GBK" w:eastAsia="方正仿宋_GBK"/>
          <w:sz w:val="28"/>
        </w:rPr>
        <w:t>（二）组织建设</w:t>
      </w:r>
    </w:p>
    <w:p>
      <w:pPr>
        <w:spacing w:line="500" w:lineRule="exact"/>
        <w:ind w:firstLine="560"/>
        <w:rPr>
          <w:rFonts w:ascii="方正仿宋_GBK" w:eastAsia="方正仿宋_GBK"/>
          <w:sz w:val="28"/>
        </w:rPr>
      </w:pPr>
      <w:r>
        <w:rPr>
          <w:rFonts w:ascii="方正仿宋_GBK" w:eastAsia="方正仿宋_GBK"/>
          <w:sz w:val="28"/>
        </w:rPr>
        <w:t>建设</w:t>
      </w:r>
      <w:bookmarkStart w:id="2" w:name="_GoBack"/>
      <w:bookmarkEnd w:id="2"/>
      <w:r>
        <w:rPr>
          <w:rFonts w:ascii="方正仿宋_GBK" w:eastAsia="方正仿宋_GBK"/>
          <w:sz w:val="28"/>
        </w:rPr>
        <w:t>参政议政队伍，促进参政议政工作制度化、规范化和程序化，调动基层组织和广大党员的积极性，增强组织凝聚力；发挥宣传教育阵地作用，增强广大党员和人民群众对中国特色社会主义的道路自信、理论自信、制度自信。</w:t>
      </w:r>
    </w:p>
    <w:p>
      <w:pPr>
        <w:spacing w:line="500" w:lineRule="exact"/>
        <w:ind w:firstLine="560"/>
        <w:rPr>
          <w:rFonts w:ascii="方正仿宋_GBK" w:eastAsia="方正仿宋_GBK"/>
          <w:sz w:val="28"/>
        </w:rPr>
      </w:pPr>
      <w:r>
        <w:rPr>
          <w:rFonts w:ascii="方正仿宋_GBK" w:eastAsia="方正仿宋_GBK"/>
          <w:sz w:val="28"/>
        </w:rPr>
        <w:t>（三）农工党事务管理</w:t>
      </w:r>
    </w:p>
    <w:p>
      <w:pPr>
        <w:spacing w:line="500" w:lineRule="exact"/>
        <w:ind w:firstLine="560"/>
        <w:rPr>
          <w:rFonts w:hint="eastAsia" w:ascii="方正仿宋_GBK" w:eastAsia="方正仿宋_GBK"/>
          <w:sz w:val="28"/>
        </w:rPr>
      </w:pPr>
      <w:r>
        <w:rPr>
          <w:rFonts w:ascii="方正仿宋_GBK" w:eastAsia="方正仿宋_GBK"/>
          <w:sz w:val="28"/>
        </w:rPr>
        <w:t>保证农工党省委会机关各项工作顺利开展。</w:t>
      </w:r>
    </w:p>
    <w:p>
      <w:pPr>
        <w:spacing w:line="500" w:lineRule="exact"/>
        <w:jc w:val="left"/>
        <w:rPr>
          <w:rFonts w:hint="eastAsia" w:ascii="Times New Roman" w:hAnsi="Times New Roman" w:eastAsia="方正楷体_GBK"/>
          <w:b/>
          <w:sz w:val="28"/>
        </w:rPr>
      </w:pPr>
    </w:p>
    <w:p>
      <w:pPr>
        <w:spacing w:line="500" w:lineRule="exact"/>
        <w:jc w:val="left"/>
        <w:rPr>
          <w:rFonts w:ascii="Times New Roman" w:hAnsi="Times New Roman" w:eastAsia="方正楷体_GBK"/>
          <w:b/>
          <w:sz w:val="28"/>
        </w:rPr>
      </w:pPr>
      <w:r>
        <w:rPr>
          <w:rFonts w:hint="eastAsia" w:ascii="Times New Roman" w:hAnsi="Times New Roman" w:eastAsia="方正楷体_GBK"/>
          <w:b/>
          <w:sz w:val="28"/>
        </w:rPr>
        <w:t>部门职责—工作活动绩效目标指标</w:t>
      </w:r>
    </w:p>
    <w:p>
      <w:pPr>
        <w:spacing w:line="500" w:lineRule="exact"/>
        <w:ind w:firstLine="560"/>
        <w:rPr>
          <w:rFonts w:ascii="方正仿宋_GBK" w:eastAsia="方正仿宋_GBK"/>
          <w:sz w:val="28"/>
        </w:rPr>
      </w:pPr>
    </w:p>
    <w:p>
      <w:pPr>
        <w:jc w:val="center"/>
        <w:outlineLvl w:val="0"/>
        <w:rPr>
          <w:rFonts w:ascii="方正小标宋_GBK" w:eastAsia="方正小标宋_GBK"/>
          <w:sz w:val="32"/>
        </w:rPr>
      </w:pPr>
      <w:bookmarkStart w:id="0" w:name="_Toc504154525"/>
      <w:r>
        <w:rPr>
          <w:rFonts w:hint="eastAsia" w:ascii="方正小标宋_GBK" w:eastAsia="方正小标宋_GBK"/>
          <w:sz w:val="32"/>
        </w:rPr>
        <w:t>部门职责-工作活动绩效目标</w:t>
      </w:r>
      <w:bookmarkEnd w:id="0"/>
    </w:p>
    <w:tbl>
      <w:tblPr>
        <w:tblStyle w:val="11"/>
        <w:tblW w:w="1393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341"/>
        <w:gridCol w:w="1276"/>
        <w:gridCol w:w="2976"/>
        <w:gridCol w:w="2572"/>
        <w:gridCol w:w="1821"/>
        <w:gridCol w:w="737"/>
        <w:gridCol w:w="737"/>
        <w:gridCol w:w="737"/>
        <w:gridCol w:w="7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tblHeader/>
          <w:jc w:val="center"/>
        </w:trPr>
        <w:tc>
          <w:tcPr>
            <w:tcW w:w="10986"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hint="eastAsia" w:ascii="方正小标宋_GBK" w:eastAsia="方正小标宋_GBK"/>
                <w:sz w:val="24"/>
              </w:rPr>
              <w:t>757中国农工民主党河北省委员会</w:t>
            </w:r>
          </w:p>
        </w:tc>
        <w:tc>
          <w:tcPr>
            <w:tcW w:w="2948"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sz w:val="24"/>
              </w:rPr>
            </w:pPr>
            <w:r>
              <w:rPr>
                <w:rFonts w:hint="eastAsia" w:ascii="方正书宋_GBK" w:eastAsia="方正书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tblHeader/>
          <w:jc w:val="center"/>
        </w:trPr>
        <w:tc>
          <w:tcPr>
            <w:tcW w:w="234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职责活动</w:t>
            </w:r>
          </w:p>
        </w:tc>
        <w:tc>
          <w:tcPr>
            <w:tcW w:w="12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年度预算数</w:t>
            </w:r>
          </w:p>
        </w:tc>
        <w:tc>
          <w:tcPr>
            <w:tcW w:w="297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内容描述</w:t>
            </w:r>
          </w:p>
        </w:tc>
        <w:tc>
          <w:tcPr>
            <w:tcW w:w="2572"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82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w:t>
            </w:r>
          </w:p>
        </w:tc>
        <w:tc>
          <w:tcPr>
            <w:tcW w:w="2948"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评价标准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tblHeader/>
          <w:jc w:val="center"/>
        </w:trPr>
        <w:tc>
          <w:tcPr>
            <w:tcW w:w="2341" w:type="dxa"/>
            <w:vMerge w:val="continue"/>
            <w:shd w:val="clear" w:color="auto" w:fill="auto"/>
            <w:vAlign w:val="center"/>
          </w:tcPr>
          <w:p>
            <w:pPr>
              <w:spacing w:line="300" w:lineRule="exact"/>
              <w:jc w:val="left"/>
              <w:outlineLvl w:val="0"/>
            </w:pPr>
          </w:p>
        </w:tc>
        <w:tc>
          <w:tcPr>
            <w:tcW w:w="1276" w:type="dxa"/>
            <w:vMerge w:val="continue"/>
            <w:shd w:val="clear" w:color="auto" w:fill="auto"/>
            <w:vAlign w:val="center"/>
          </w:tcPr>
          <w:p>
            <w:pPr>
              <w:spacing w:line="300" w:lineRule="exact"/>
              <w:jc w:val="left"/>
              <w:outlineLvl w:val="0"/>
            </w:pPr>
          </w:p>
        </w:tc>
        <w:tc>
          <w:tcPr>
            <w:tcW w:w="2976" w:type="dxa"/>
            <w:vMerge w:val="continue"/>
            <w:shd w:val="clear" w:color="auto" w:fill="auto"/>
            <w:vAlign w:val="center"/>
          </w:tcPr>
          <w:p>
            <w:pPr>
              <w:spacing w:line="300" w:lineRule="exact"/>
              <w:jc w:val="left"/>
              <w:outlineLvl w:val="0"/>
            </w:pPr>
          </w:p>
        </w:tc>
        <w:tc>
          <w:tcPr>
            <w:tcW w:w="2572" w:type="dxa"/>
            <w:vMerge w:val="continue"/>
            <w:shd w:val="clear" w:color="auto" w:fill="auto"/>
            <w:vAlign w:val="center"/>
          </w:tcPr>
          <w:p>
            <w:pPr>
              <w:spacing w:line="300" w:lineRule="exact"/>
              <w:jc w:val="left"/>
              <w:outlineLvl w:val="0"/>
            </w:pPr>
          </w:p>
        </w:tc>
        <w:tc>
          <w:tcPr>
            <w:tcW w:w="1821" w:type="dxa"/>
            <w:vMerge w:val="continue"/>
            <w:shd w:val="clear" w:color="auto" w:fill="auto"/>
            <w:vAlign w:val="center"/>
          </w:tcPr>
          <w:p>
            <w:pPr>
              <w:spacing w:line="300" w:lineRule="exact"/>
              <w:jc w:val="left"/>
              <w:outlineLvl w:val="0"/>
            </w:pP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优</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良</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中</w:t>
            </w:r>
          </w:p>
        </w:tc>
        <w:tc>
          <w:tcPr>
            <w:tcW w:w="73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一、参政议政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62.26</w:t>
            </w:r>
          </w:p>
        </w:tc>
        <w:tc>
          <w:tcPr>
            <w:tcW w:w="29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参政议政、组织建设及宣传教育、社会服务等事项。</w:t>
            </w:r>
          </w:p>
        </w:tc>
        <w:tc>
          <w:tcPr>
            <w:tcW w:w="257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增强组织凝聚力和社会影响力，提升参政议政水平，帮助弱势群体，助力经济发展。</w:t>
            </w:r>
          </w:p>
        </w:tc>
        <w:tc>
          <w:tcPr>
            <w:tcW w:w="1821" w:type="dxa"/>
            <w:shd w:val="clear" w:color="auto" w:fill="auto"/>
            <w:vAlign w:val="center"/>
          </w:tcPr>
          <w:p>
            <w:pPr>
              <w:spacing w:line="300" w:lineRule="exact"/>
              <w:jc w:val="left"/>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restart"/>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　　1、参政议政</w:t>
            </w:r>
          </w:p>
        </w:tc>
        <w:tc>
          <w:tcPr>
            <w:tcW w:w="1276" w:type="dxa"/>
            <w:vMerge w:val="restart"/>
            <w:shd w:val="clear" w:color="auto" w:fill="auto"/>
            <w:vAlign w:val="center"/>
          </w:tcPr>
          <w:p>
            <w:pPr>
              <w:spacing w:line="300" w:lineRule="exact"/>
              <w:jc w:val="left"/>
              <w:rPr>
                <w:rFonts w:ascii="方正书宋_GBK" w:eastAsia="方正书宋_GBK"/>
              </w:rPr>
            </w:pPr>
            <w:r>
              <w:rPr>
                <w:rFonts w:ascii="方正书宋_GBK" w:eastAsia="方正书宋_GBK"/>
              </w:rPr>
              <w:t>62.26</w:t>
            </w:r>
          </w:p>
        </w:tc>
        <w:tc>
          <w:tcPr>
            <w:tcW w:w="2976"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组织开展调研，向省政协提交大会发言和集体提案，反映社情民意，与省政府对口单位紧密联系。</w:t>
            </w:r>
          </w:p>
        </w:tc>
        <w:tc>
          <w:tcPr>
            <w:tcW w:w="2572"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提升参政议政水平，为国家治理和社会发展建言献策。</w:t>
            </w: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提案提交量</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≥12</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反映社情民意、意见建议采用率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社情民意信息报送数量</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≥150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提交调研报告数量（篇）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≥5</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restart"/>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　　2、社会服务</w:t>
            </w:r>
          </w:p>
        </w:tc>
        <w:tc>
          <w:tcPr>
            <w:tcW w:w="1276" w:type="dxa"/>
            <w:vMerge w:val="restart"/>
            <w:shd w:val="clear" w:color="auto" w:fill="auto"/>
            <w:vAlign w:val="center"/>
          </w:tcPr>
          <w:p>
            <w:pPr>
              <w:spacing w:line="300" w:lineRule="exact"/>
              <w:jc w:val="left"/>
              <w:rPr>
                <w:rFonts w:ascii="方正书宋_GBK" w:eastAsia="方正书宋_GBK"/>
              </w:rPr>
            </w:pPr>
          </w:p>
        </w:tc>
        <w:tc>
          <w:tcPr>
            <w:tcW w:w="2976"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组织农工党党员开展医疗卫生、科学技术和文化教育等方面的咨询服务，开展牵线搭桥、内引外联和“三胞”联谊和扶贫支边工作，为本省经济服务。</w:t>
            </w:r>
          </w:p>
        </w:tc>
        <w:tc>
          <w:tcPr>
            <w:tcW w:w="2572"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打造社会服务品牌，加强海外交流，致力边远地区脱贫致富，推进新农村建设和社会发展。</w:t>
            </w: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群众满意率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组织其他年度性等活动次数</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开展“脱贫攻坚民主监督”活动次数</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组织中开展农工党对口支援大方县精准扶贫活动次数</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二、组织建设及省委会事务管理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12.02</w:t>
            </w:r>
          </w:p>
        </w:tc>
        <w:tc>
          <w:tcPr>
            <w:tcW w:w="2976"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贯彻农工党中央组织建设工作方针，指导全省各级组织的建设，维护党员合法权益等工作及农工党省委会机关综合性事务管理等事项。</w:t>
            </w:r>
          </w:p>
        </w:tc>
        <w:tc>
          <w:tcPr>
            <w:tcW w:w="257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贯彻农工党中央组织建设工作方针，指导全省各级组织的建设，开展学习教育活动，组织换届、后备干部培养和干部培训、基层建设工作，对党内重大活动和典型人物进行宣传。保障农工党省委机关顺利开展工作。</w:t>
            </w:r>
          </w:p>
        </w:tc>
        <w:tc>
          <w:tcPr>
            <w:tcW w:w="1821" w:type="dxa"/>
            <w:shd w:val="clear" w:color="auto" w:fill="auto"/>
            <w:vAlign w:val="center"/>
          </w:tcPr>
          <w:p>
            <w:pPr>
              <w:spacing w:line="300" w:lineRule="exact"/>
              <w:jc w:val="left"/>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c>
          <w:tcPr>
            <w:tcW w:w="737" w:type="dxa"/>
            <w:shd w:val="clear" w:color="auto" w:fill="auto"/>
            <w:vAlign w:val="center"/>
          </w:tcPr>
          <w:p>
            <w:pPr>
              <w:spacing w:line="300" w:lineRule="exact"/>
              <w:jc w:val="center"/>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restart"/>
            <w:shd w:val="clear" w:color="auto" w:fill="auto"/>
            <w:vAlign w:val="center"/>
          </w:tcPr>
          <w:p>
            <w:pPr>
              <w:spacing w:line="300" w:lineRule="exact"/>
              <w:jc w:val="left"/>
              <w:rPr>
                <w:rFonts w:ascii="方正书宋_GBK" w:eastAsia="方正书宋_GBK"/>
                <w:b/>
              </w:rPr>
            </w:pPr>
            <w:r>
              <w:rPr>
                <w:rFonts w:hint="eastAsia" w:ascii="方正书宋_GBK" w:eastAsia="方正书宋_GBK"/>
                <w:b/>
              </w:rPr>
              <w:t>　　1、组织建设、宣传工作及机关事务管理</w:t>
            </w:r>
          </w:p>
        </w:tc>
        <w:tc>
          <w:tcPr>
            <w:tcW w:w="1276" w:type="dxa"/>
            <w:vMerge w:val="restart"/>
            <w:shd w:val="clear" w:color="auto" w:fill="auto"/>
            <w:vAlign w:val="center"/>
          </w:tcPr>
          <w:p>
            <w:pPr>
              <w:spacing w:line="300" w:lineRule="exact"/>
              <w:jc w:val="left"/>
              <w:rPr>
                <w:rFonts w:ascii="方正书宋_GBK" w:eastAsia="方正书宋_GBK"/>
              </w:rPr>
            </w:pPr>
            <w:r>
              <w:rPr>
                <w:rFonts w:ascii="方正书宋_GBK" w:eastAsia="方正书宋_GBK"/>
              </w:rPr>
              <w:t>12.02</w:t>
            </w:r>
          </w:p>
        </w:tc>
        <w:tc>
          <w:tcPr>
            <w:tcW w:w="2976"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贯彻农工党中央组织建设工作方针，指导全省各级组织的建设，开展学习教育活动，组织换届、后备干部培养和干部培训、基层建设工作，对党内重大活动和典型人物进行宣传。做好机关事务管理和后勤保障工作。</w:t>
            </w:r>
          </w:p>
        </w:tc>
        <w:tc>
          <w:tcPr>
            <w:tcW w:w="2572" w:type="dxa"/>
            <w:vMerge w:val="restart"/>
            <w:shd w:val="clear" w:color="auto" w:fill="auto"/>
            <w:vAlign w:val="center"/>
          </w:tcPr>
          <w:p>
            <w:pPr>
              <w:spacing w:line="300" w:lineRule="exact"/>
              <w:jc w:val="left"/>
              <w:rPr>
                <w:rFonts w:ascii="方正书宋_GBK" w:eastAsia="方正书宋_GBK"/>
              </w:rPr>
            </w:pPr>
            <w:r>
              <w:rPr>
                <w:rFonts w:hint="eastAsia" w:ascii="方正书宋_GBK" w:eastAsia="方正书宋_GBK"/>
              </w:rPr>
              <w:t>建设参政议政队伍，促进参政议政工作制度化、规范化和程序化，调动基层组织和广大党员的积极性，增强组织凝聚力；发挥宣传教育阵地作用，增强广大党员和人民群众对中国特色社会主义的道路自信、理论自信、制度自信。</w:t>
            </w: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内部刊物印刷数量</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≥16</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≥12</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活动参与满意度</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新会员培训合格率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省直属基层党组织活动率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综合事务工作完成率</w:t>
            </w:r>
          </w:p>
        </w:tc>
        <w:tc>
          <w:tcPr>
            <w:tcW w:w="737" w:type="dxa"/>
            <w:shd w:val="clear" w:color="auto" w:fill="auto"/>
            <w:vAlign w:val="center"/>
          </w:tcPr>
          <w:p>
            <w:pPr>
              <w:spacing w:line="300" w:lineRule="exact"/>
              <w:jc w:val="center"/>
              <w:rPr>
                <w:rFonts w:ascii="方正书宋_GBK" w:eastAsia="方正书宋_GBK"/>
              </w:rPr>
            </w:pPr>
            <w:r>
              <w:rPr>
                <w:rFonts w:ascii="方正书宋_GBK" w:eastAsia="方正书宋_GBK"/>
              </w:rPr>
              <w:t>100%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≥95%</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227" w:hRule="atLeast"/>
          <w:jc w:val="center"/>
        </w:trPr>
        <w:tc>
          <w:tcPr>
            <w:tcW w:w="2341" w:type="dxa"/>
            <w:vMerge w:val="continue"/>
            <w:shd w:val="clear" w:color="auto" w:fill="auto"/>
            <w:vAlign w:val="center"/>
          </w:tcPr>
          <w:p>
            <w:pPr>
              <w:spacing w:line="300" w:lineRule="exact"/>
              <w:jc w:val="left"/>
              <w:rPr>
                <w:rFonts w:ascii="方正书宋_GBK" w:eastAsia="方正书宋_GBK"/>
                <w:b/>
              </w:rPr>
            </w:pPr>
          </w:p>
        </w:tc>
        <w:tc>
          <w:tcPr>
            <w:tcW w:w="1276" w:type="dxa"/>
            <w:vMerge w:val="continue"/>
            <w:shd w:val="clear" w:color="auto" w:fill="auto"/>
            <w:vAlign w:val="center"/>
          </w:tcPr>
          <w:p>
            <w:pPr>
              <w:spacing w:line="300" w:lineRule="exact"/>
              <w:jc w:val="left"/>
              <w:rPr>
                <w:rFonts w:ascii="方正书宋_GBK" w:eastAsia="方正书宋_GBK"/>
              </w:rPr>
            </w:pPr>
          </w:p>
        </w:tc>
        <w:tc>
          <w:tcPr>
            <w:tcW w:w="2976" w:type="dxa"/>
            <w:vMerge w:val="continue"/>
            <w:shd w:val="clear" w:color="auto" w:fill="auto"/>
            <w:vAlign w:val="center"/>
          </w:tcPr>
          <w:p>
            <w:pPr>
              <w:spacing w:line="300" w:lineRule="exact"/>
              <w:jc w:val="left"/>
              <w:rPr>
                <w:rFonts w:ascii="方正书宋_GBK" w:eastAsia="方正书宋_GBK"/>
              </w:rPr>
            </w:pPr>
          </w:p>
        </w:tc>
        <w:tc>
          <w:tcPr>
            <w:tcW w:w="2572" w:type="dxa"/>
            <w:vMerge w:val="continue"/>
            <w:shd w:val="clear" w:color="auto" w:fill="auto"/>
            <w:vAlign w:val="center"/>
          </w:tcPr>
          <w:p>
            <w:pPr>
              <w:spacing w:line="300" w:lineRule="exact"/>
              <w:jc w:val="left"/>
              <w:rPr>
                <w:rFonts w:ascii="方正书宋_GBK" w:eastAsia="方正书宋_GBK"/>
              </w:rPr>
            </w:pPr>
          </w:p>
        </w:tc>
        <w:tc>
          <w:tcPr>
            <w:tcW w:w="182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新党员培训率</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≥90%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≥70%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c>
          <w:tcPr>
            <w:tcW w:w="73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＜60%</w:t>
            </w:r>
          </w:p>
        </w:tc>
      </w:tr>
    </w:tbl>
    <w:p>
      <w:pPr>
        <w:pStyle w:val="6"/>
      </w:pPr>
      <w:r>
        <w:rPr>
          <w:rStyle w:val="10"/>
        </w:rPr>
        <w:sym w:font="Symbol" w:char="F020"/>
      </w:r>
      <w:r>
        <w:t xml:space="preserve"> </w:t>
      </w:r>
    </w:p>
    <w:p>
      <w:pPr>
        <w:autoSpaceDE w:val="0"/>
        <w:autoSpaceDN w:val="0"/>
        <w:adjustRightInd w:val="0"/>
        <w:ind w:left="200"/>
        <w:jc w:val="left"/>
        <w:rPr>
          <w:rFonts w:ascii="宋体" w:eastAsia="宋体" w:cs="宋体"/>
          <w:kern w:val="0"/>
          <w:sz w:val="18"/>
          <w:szCs w:val="18"/>
          <w:lang w:val="zh-CN"/>
        </w:rPr>
      </w:pP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六、政府采购预算情况</w:t>
      </w:r>
    </w:p>
    <w:p>
      <w:pPr>
        <w:outlineLvl w:val="0"/>
        <w:rPr>
          <w:rFonts w:ascii="Times New Roman" w:hAnsi="Times New Roman" w:eastAsia="方正仿宋_GBK" w:cs="Times New Roman"/>
          <w:sz w:val="32"/>
          <w:szCs w:val="24"/>
        </w:rPr>
      </w:pPr>
      <w:bookmarkStart w:id="1" w:name="_Toc471398468"/>
      <w:r>
        <w:rPr>
          <w:rFonts w:hint="eastAsia" w:ascii="方正小标宋_GBK" w:hAnsi="Times New Roman" w:eastAsia="方正小标宋_GBK" w:cs="Times New Roman"/>
          <w:sz w:val="32"/>
          <w:szCs w:val="24"/>
        </w:rPr>
        <w:t xml:space="preserve"> </w:t>
      </w:r>
      <w:r>
        <w:rPr>
          <w:rFonts w:ascii="Times New Roman" w:hAnsi="Times New Roman" w:eastAsia="方正仿宋_GBK" w:cs="Times New Roman"/>
          <w:sz w:val="32"/>
          <w:szCs w:val="24"/>
        </w:rPr>
        <w:t xml:space="preserve">   </w:t>
      </w:r>
      <w:r>
        <w:rPr>
          <w:rFonts w:hint="eastAsia" w:ascii="Times New Roman" w:hAnsi="Times New Roman" w:eastAsia="方正仿宋_GBK" w:cs="Times New Roman"/>
          <w:sz w:val="32"/>
          <w:szCs w:val="24"/>
        </w:rPr>
        <w:t>2019</w:t>
      </w:r>
      <w:r>
        <w:rPr>
          <w:rFonts w:ascii="Times New Roman" w:hAnsi="Times New Roman" w:eastAsia="方正仿宋_GBK" w:cs="Times New Roman"/>
          <w:sz w:val="32"/>
          <w:szCs w:val="24"/>
        </w:rPr>
        <w:t>年，我</w:t>
      </w:r>
      <w:r>
        <w:rPr>
          <w:rFonts w:hint="eastAsia" w:ascii="Times New Roman" w:hAnsi="Times New Roman" w:eastAsia="方正仿宋_GBK" w:cs="Times New Roman"/>
          <w:sz w:val="32"/>
          <w:szCs w:val="24"/>
        </w:rPr>
        <w:t>部门</w:t>
      </w:r>
      <w:r>
        <w:rPr>
          <w:rFonts w:ascii="Times New Roman" w:hAnsi="Times New Roman" w:eastAsia="方正仿宋_GBK" w:cs="Times New Roman"/>
          <w:sz w:val="32"/>
          <w:szCs w:val="24"/>
        </w:rPr>
        <w:t>安排政府采购预算</w:t>
      </w:r>
      <w:r>
        <w:rPr>
          <w:rFonts w:hint="eastAsia" w:ascii="Times New Roman" w:hAnsi="Times New Roman" w:eastAsia="方正仿宋_GBK" w:cs="Times New Roman"/>
          <w:sz w:val="32"/>
          <w:szCs w:val="24"/>
        </w:rPr>
        <w:t>3</w:t>
      </w:r>
      <w:r>
        <w:rPr>
          <w:rFonts w:ascii="Times New Roman" w:hAnsi="Times New Roman" w:eastAsia="方正仿宋_GBK" w:cs="Times New Roman"/>
          <w:sz w:val="32"/>
          <w:szCs w:val="24"/>
        </w:rPr>
        <w:t>万元。具体内容见下表。</w:t>
      </w:r>
    </w:p>
    <w:p>
      <w:pPr>
        <w:jc w:val="center"/>
        <w:outlineLvl w:val="0"/>
        <w:rPr>
          <w:rFonts w:ascii="方正小标宋_GBK" w:hAnsi="Times New Roman" w:eastAsia="方正小标宋_GBK" w:cs="Times New Roman"/>
          <w:sz w:val="32"/>
          <w:szCs w:val="24"/>
        </w:rPr>
      </w:pPr>
      <w:r>
        <w:rPr>
          <w:rFonts w:hint="eastAsia" w:ascii="方正小标宋_GBK" w:hAnsi="Times New Roman" w:eastAsia="方正小标宋_GBK" w:cs="Times New Roman"/>
          <w:sz w:val="32"/>
          <w:szCs w:val="24"/>
        </w:rPr>
        <w:t>部门政府采购预算</w:t>
      </w:r>
      <w:bookmarkEnd w:id="1"/>
    </w:p>
    <w:tbl>
      <w:tblPr>
        <w:tblStyle w:val="11"/>
        <w:tblW w:w="1456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431"/>
        <w:gridCol w:w="961"/>
        <w:gridCol w:w="1078"/>
        <w:gridCol w:w="1189"/>
        <w:gridCol w:w="744"/>
        <w:gridCol w:w="744"/>
        <w:gridCol w:w="833"/>
        <w:gridCol w:w="946"/>
        <w:gridCol w:w="946"/>
        <w:gridCol w:w="946"/>
        <w:gridCol w:w="946"/>
        <w:gridCol w:w="949"/>
        <w:gridCol w:w="949"/>
        <w:gridCol w:w="9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7980"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hint="eastAsia" w:ascii="方正小标宋_GBK" w:eastAsia="方正小标宋_GBK"/>
                <w:sz w:val="24"/>
              </w:rPr>
              <w:t>757中国农工民主党河北省委员会</w:t>
            </w:r>
          </w:p>
        </w:tc>
        <w:tc>
          <w:tcPr>
            <w:tcW w:w="6588"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sz w:val="24"/>
              </w:rPr>
            </w:pPr>
            <w:r>
              <w:rPr>
                <w:rFonts w:hint="eastAsia" w:ascii="方正书宋_GBK" w:eastAsia="方正书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3392"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07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18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4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  单位</w:t>
            </w:r>
          </w:p>
        </w:tc>
        <w:tc>
          <w:tcPr>
            <w:tcW w:w="74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833"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588" w:type="dxa"/>
            <w:gridSpan w:val="7"/>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24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9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078" w:type="dxa"/>
            <w:vMerge w:val="continue"/>
            <w:shd w:val="clear" w:color="auto" w:fill="auto"/>
            <w:vAlign w:val="center"/>
          </w:tcPr>
          <w:p>
            <w:pPr>
              <w:spacing w:line="300" w:lineRule="exact"/>
              <w:jc w:val="left"/>
              <w:outlineLvl w:val="0"/>
            </w:pPr>
          </w:p>
        </w:tc>
        <w:tc>
          <w:tcPr>
            <w:tcW w:w="1189" w:type="dxa"/>
            <w:vMerge w:val="continue"/>
            <w:shd w:val="clear" w:color="auto" w:fill="auto"/>
            <w:vAlign w:val="center"/>
          </w:tcPr>
          <w:p>
            <w:pPr>
              <w:spacing w:line="300" w:lineRule="exact"/>
              <w:jc w:val="left"/>
              <w:outlineLvl w:val="0"/>
            </w:pPr>
          </w:p>
        </w:tc>
        <w:tc>
          <w:tcPr>
            <w:tcW w:w="744" w:type="dxa"/>
            <w:vMerge w:val="continue"/>
            <w:shd w:val="clear" w:color="auto" w:fill="auto"/>
            <w:vAlign w:val="center"/>
          </w:tcPr>
          <w:p>
            <w:pPr>
              <w:spacing w:line="300" w:lineRule="exact"/>
              <w:jc w:val="left"/>
              <w:outlineLvl w:val="0"/>
            </w:pPr>
          </w:p>
        </w:tc>
        <w:tc>
          <w:tcPr>
            <w:tcW w:w="744" w:type="dxa"/>
            <w:vMerge w:val="continue"/>
            <w:shd w:val="clear" w:color="auto" w:fill="auto"/>
            <w:vAlign w:val="center"/>
          </w:tcPr>
          <w:p>
            <w:pPr>
              <w:spacing w:line="300" w:lineRule="exact"/>
              <w:jc w:val="left"/>
              <w:outlineLvl w:val="0"/>
            </w:pPr>
          </w:p>
        </w:tc>
        <w:tc>
          <w:tcPr>
            <w:tcW w:w="833" w:type="dxa"/>
            <w:vMerge w:val="continue"/>
            <w:shd w:val="clear" w:color="auto" w:fill="auto"/>
            <w:vAlign w:val="center"/>
          </w:tcPr>
          <w:p>
            <w:pPr>
              <w:spacing w:line="300" w:lineRule="exact"/>
              <w:jc w:val="left"/>
              <w:outlineLvl w:val="0"/>
            </w:pPr>
          </w:p>
        </w:tc>
        <w:tc>
          <w:tcPr>
            <w:tcW w:w="94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总计</w:t>
            </w:r>
          </w:p>
        </w:tc>
        <w:tc>
          <w:tcPr>
            <w:tcW w:w="4736"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当年部门预算安排资金</w:t>
            </w:r>
          </w:p>
        </w:tc>
        <w:tc>
          <w:tcPr>
            <w:tcW w:w="90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其他渠道资金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2431" w:type="dxa"/>
            <w:vMerge w:val="continue"/>
            <w:shd w:val="clear" w:color="auto" w:fill="auto"/>
            <w:vAlign w:val="center"/>
          </w:tcPr>
          <w:p>
            <w:pPr>
              <w:spacing w:line="300" w:lineRule="exact"/>
              <w:jc w:val="left"/>
              <w:outlineLvl w:val="0"/>
            </w:pPr>
          </w:p>
        </w:tc>
        <w:tc>
          <w:tcPr>
            <w:tcW w:w="961" w:type="dxa"/>
            <w:vMerge w:val="continue"/>
            <w:shd w:val="clear" w:color="auto" w:fill="auto"/>
            <w:vAlign w:val="center"/>
          </w:tcPr>
          <w:p>
            <w:pPr>
              <w:spacing w:line="300" w:lineRule="exact"/>
              <w:jc w:val="left"/>
              <w:outlineLvl w:val="0"/>
            </w:pPr>
          </w:p>
        </w:tc>
        <w:tc>
          <w:tcPr>
            <w:tcW w:w="1078" w:type="dxa"/>
            <w:vMerge w:val="continue"/>
            <w:shd w:val="clear" w:color="auto" w:fill="auto"/>
            <w:vAlign w:val="center"/>
          </w:tcPr>
          <w:p>
            <w:pPr>
              <w:spacing w:line="300" w:lineRule="exact"/>
              <w:jc w:val="left"/>
              <w:outlineLvl w:val="0"/>
            </w:pPr>
          </w:p>
        </w:tc>
        <w:tc>
          <w:tcPr>
            <w:tcW w:w="1189" w:type="dxa"/>
            <w:vMerge w:val="continue"/>
            <w:shd w:val="clear" w:color="auto" w:fill="auto"/>
            <w:vAlign w:val="center"/>
          </w:tcPr>
          <w:p>
            <w:pPr>
              <w:spacing w:line="300" w:lineRule="exact"/>
              <w:jc w:val="left"/>
              <w:outlineLvl w:val="0"/>
            </w:pPr>
          </w:p>
        </w:tc>
        <w:tc>
          <w:tcPr>
            <w:tcW w:w="744" w:type="dxa"/>
            <w:vMerge w:val="continue"/>
            <w:shd w:val="clear" w:color="auto" w:fill="auto"/>
            <w:vAlign w:val="center"/>
          </w:tcPr>
          <w:p>
            <w:pPr>
              <w:spacing w:line="300" w:lineRule="exact"/>
              <w:jc w:val="left"/>
              <w:outlineLvl w:val="0"/>
            </w:pPr>
          </w:p>
        </w:tc>
        <w:tc>
          <w:tcPr>
            <w:tcW w:w="744" w:type="dxa"/>
            <w:vMerge w:val="continue"/>
            <w:shd w:val="clear" w:color="auto" w:fill="auto"/>
            <w:vAlign w:val="center"/>
          </w:tcPr>
          <w:p>
            <w:pPr>
              <w:spacing w:line="300" w:lineRule="exact"/>
              <w:jc w:val="left"/>
              <w:outlineLvl w:val="0"/>
            </w:pPr>
          </w:p>
        </w:tc>
        <w:tc>
          <w:tcPr>
            <w:tcW w:w="833" w:type="dxa"/>
            <w:vMerge w:val="continue"/>
            <w:shd w:val="clear" w:color="auto" w:fill="auto"/>
            <w:vAlign w:val="center"/>
          </w:tcPr>
          <w:p>
            <w:pPr>
              <w:spacing w:line="300" w:lineRule="exact"/>
              <w:jc w:val="left"/>
              <w:outlineLvl w:val="0"/>
            </w:pPr>
          </w:p>
        </w:tc>
        <w:tc>
          <w:tcPr>
            <w:tcW w:w="946" w:type="dxa"/>
            <w:vMerge w:val="continue"/>
            <w:shd w:val="clear" w:color="auto" w:fill="auto"/>
            <w:vAlign w:val="center"/>
          </w:tcPr>
          <w:p>
            <w:pPr>
              <w:spacing w:line="300" w:lineRule="exact"/>
              <w:jc w:val="left"/>
              <w:outlineLvl w:val="0"/>
            </w:pPr>
          </w:p>
        </w:tc>
        <w:tc>
          <w:tcPr>
            <w:tcW w:w="94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4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94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94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94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其他来源收入</w:t>
            </w:r>
          </w:p>
        </w:tc>
        <w:tc>
          <w:tcPr>
            <w:tcW w:w="906" w:type="dxa"/>
            <w:vMerge w:val="continue"/>
            <w:shd w:val="clear" w:color="auto" w:fill="auto"/>
            <w:vAlign w:val="center"/>
          </w:tcPr>
          <w:p>
            <w:pPr>
              <w:spacing w:line="300" w:lineRule="exact"/>
              <w:jc w:val="left"/>
              <w:outlineLvl w:val="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3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　计</w:t>
            </w:r>
          </w:p>
        </w:tc>
        <w:tc>
          <w:tcPr>
            <w:tcW w:w="961" w:type="dxa"/>
            <w:shd w:val="clear" w:color="auto" w:fill="auto"/>
            <w:vAlign w:val="center"/>
          </w:tcPr>
          <w:p>
            <w:pPr>
              <w:spacing w:line="300" w:lineRule="exact"/>
              <w:jc w:val="right"/>
              <w:rPr>
                <w:rFonts w:ascii="方正书宋_GBK" w:eastAsia="方正书宋_GBK"/>
                <w:b/>
              </w:rPr>
            </w:pPr>
          </w:p>
        </w:tc>
        <w:tc>
          <w:tcPr>
            <w:tcW w:w="1078" w:type="dxa"/>
            <w:shd w:val="clear" w:color="auto" w:fill="auto"/>
            <w:vAlign w:val="center"/>
          </w:tcPr>
          <w:p>
            <w:pPr>
              <w:spacing w:line="300" w:lineRule="exact"/>
              <w:jc w:val="left"/>
              <w:rPr>
                <w:rFonts w:ascii="方正书宋_GBK" w:eastAsia="方正书宋_GBK"/>
                <w:b/>
              </w:rPr>
            </w:pPr>
          </w:p>
        </w:tc>
        <w:tc>
          <w:tcPr>
            <w:tcW w:w="1189" w:type="dxa"/>
            <w:shd w:val="clear" w:color="auto" w:fill="auto"/>
            <w:vAlign w:val="center"/>
          </w:tcPr>
          <w:p>
            <w:pPr>
              <w:spacing w:line="300" w:lineRule="exact"/>
              <w:jc w:val="left"/>
              <w:rPr>
                <w:rFonts w:ascii="方正书宋_GBK" w:eastAsia="方正书宋_GBK"/>
                <w:b/>
              </w:rPr>
            </w:pPr>
          </w:p>
        </w:tc>
        <w:tc>
          <w:tcPr>
            <w:tcW w:w="744" w:type="dxa"/>
            <w:shd w:val="clear" w:color="auto" w:fill="auto"/>
            <w:vAlign w:val="center"/>
          </w:tcPr>
          <w:p>
            <w:pPr>
              <w:spacing w:line="300" w:lineRule="exact"/>
              <w:jc w:val="left"/>
              <w:rPr>
                <w:rFonts w:ascii="方正书宋_GBK" w:eastAsia="方正书宋_GBK"/>
                <w:b/>
              </w:rPr>
            </w:pPr>
          </w:p>
        </w:tc>
        <w:tc>
          <w:tcPr>
            <w:tcW w:w="744" w:type="dxa"/>
            <w:shd w:val="clear" w:color="auto" w:fill="auto"/>
            <w:vAlign w:val="center"/>
          </w:tcPr>
          <w:p>
            <w:pPr>
              <w:spacing w:line="300" w:lineRule="exact"/>
              <w:jc w:val="right"/>
              <w:rPr>
                <w:rFonts w:ascii="方正书宋_GBK" w:eastAsia="方正书宋_GBK"/>
                <w:b/>
              </w:rPr>
            </w:pPr>
          </w:p>
        </w:tc>
        <w:tc>
          <w:tcPr>
            <w:tcW w:w="833" w:type="dxa"/>
            <w:shd w:val="clear" w:color="auto" w:fill="auto"/>
            <w:vAlign w:val="center"/>
          </w:tcPr>
          <w:p>
            <w:pPr>
              <w:spacing w:line="300" w:lineRule="exact"/>
              <w:jc w:val="right"/>
              <w:rPr>
                <w:rFonts w:ascii="方正书宋_GBK" w:eastAsia="方正书宋_GBK"/>
                <w:b/>
              </w:rPr>
            </w:pP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p>
        </w:tc>
        <w:tc>
          <w:tcPr>
            <w:tcW w:w="949" w:type="dxa"/>
            <w:shd w:val="clear" w:color="auto" w:fill="auto"/>
            <w:vAlign w:val="center"/>
          </w:tcPr>
          <w:p>
            <w:pPr>
              <w:spacing w:line="300" w:lineRule="exact"/>
              <w:jc w:val="right"/>
              <w:rPr>
                <w:rFonts w:ascii="方正书宋_GBK" w:eastAsia="方正书宋_GBK"/>
                <w:b/>
              </w:rPr>
            </w:pPr>
          </w:p>
        </w:tc>
        <w:tc>
          <w:tcPr>
            <w:tcW w:w="949" w:type="dxa"/>
            <w:shd w:val="clear" w:color="auto" w:fill="auto"/>
            <w:vAlign w:val="center"/>
          </w:tcPr>
          <w:p>
            <w:pPr>
              <w:spacing w:line="300" w:lineRule="exact"/>
              <w:jc w:val="right"/>
              <w:rPr>
                <w:rFonts w:ascii="方正书宋_GBK" w:eastAsia="方正书宋_GBK"/>
                <w:b/>
              </w:rPr>
            </w:pPr>
          </w:p>
        </w:tc>
        <w:tc>
          <w:tcPr>
            <w:tcW w:w="906"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3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中国农工民主党河北省委员会小计</w:t>
            </w:r>
          </w:p>
        </w:tc>
        <w:tc>
          <w:tcPr>
            <w:tcW w:w="961" w:type="dxa"/>
            <w:shd w:val="clear" w:color="auto" w:fill="auto"/>
            <w:vAlign w:val="center"/>
          </w:tcPr>
          <w:p>
            <w:pPr>
              <w:spacing w:line="300" w:lineRule="exact"/>
              <w:jc w:val="right"/>
              <w:rPr>
                <w:rFonts w:ascii="方正书宋_GBK" w:eastAsia="方正书宋_GBK"/>
                <w:b/>
              </w:rPr>
            </w:pPr>
          </w:p>
        </w:tc>
        <w:tc>
          <w:tcPr>
            <w:tcW w:w="1078" w:type="dxa"/>
            <w:shd w:val="clear" w:color="auto" w:fill="auto"/>
            <w:vAlign w:val="center"/>
          </w:tcPr>
          <w:p>
            <w:pPr>
              <w:spacing w:line="300" w:lineRule="exact"/>
              <w:jc w:val="left"/>
              <w:rPr>
                <w:rFonts w:ascii="方正书宋_GBK" w:eastAsia="方正书宋_GBK"/>
                <w:b/>
              </w:rPr>
            </w:pPr>
          </w:p>
        </w:tc>
        <w:tc>
          <w:tcPr>
            <w:tcW w:w="1189" w:type="dxa"/>
            <w:shd w:val="clear" w:color="auto" w:fill="auto"/>
            <w:vAlign w:val="center"/>
          </w:tcPr>
          <w:p>
            <w:pPr>
              <w:spacing w:line="300" w:lineRule="exact"/>
              <w:jc w:val="left"/>
              <w:rPr>
                <w:rFonts w:ascii="方正书宋_GBK" w:eastAsia="方正书宋_GBK"/>
                <w:b/>
              </w:rPr>
            </w:pPr>
          </w:p>
        </w:tc>
        <w:tc>
          <w:tcPr>
            <w:tcW w:w="744" w:type="dxa"/>
            <w:shd w:val="clear" w:color="auto" w:fill="auto"/>
            <w:vAlign w:val="center"/>
          </w:tcPr>
          <w:p>
            <w:pPr>
              <w:spacing w:line="300" w:lineRule="exact"/>
              <w:jc w:val="left"/>
              <w:rPr>
                <w:rFonts w:ascii="方正书宋_GBK" w:eastAsia="方正书宋_GBK"/>
                <w:b/>
              </w:rPr>
            </w:pPr>
          </w:p>
        </w:tc>
        <w:tc>
          <w:tcPr>
            <w:tcW w:w="744" w:type="dxa"/>
            <w:shd w:val="clear" w:color="auto" w:fill="auto"/>
            <w:vAlign w:val="center"/>
          </w:tcPr>
          <w:p>
            <w:pPr>
              <w:spacing w:line="300" w:lineRule="exact"/>
              <w:jc w:val="right"/>
              <w:rPr>
                <w:rFonts w:ascii="方正书宋_GBK" w:eastAsia="方正书宋_GBK"/>
                <w:b/>
              </w:rPr>
            </w:pPr>
          </w:p>
        </w:tc>
        <w:tc>
          <w:tcPr>
            <w:tcW w:w="833" w:type="dxa"/>
            <w:shd w:val="clear" w:color="auto" w:fill="auto"/>
            <w:vAlign w:val="center"/>
          </w:tcPr>
          <w:p>
            <w:pPr>
              <w:spacing w:line="300" w:lineRule="exact"/>
              <w:jc w:val="right"/>
              <w:rPr>
                <w:rFonts w:ascii="方正书宋_GBK" w:eastAsia="方正书宋_GBK"/>
                <w:b/>
              </w:rPr>
            </w:pP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r>
              <w:rPr>
                <w:rFonts w:ascii="方正书宋_GBK" w:eastAsia="方正书宋_GBK"/>
                <w:b/>
              </w:rPr>
              <w:t>3.00</w:t>
            </w:r>
          </w:p>
        </w:tc>
        <w:tc>
          <w:tcPr>
            <w:tcW w:w="946" w:type="dxa"/>
            <w:shd w:val="clear" w:color="auto" w:fill="auto"/>
            <w:vAlign w:val="center"/>
          </w:tcPr>
          <w:p>
            <w:pPr>
              <w:spacing w:line="300" w:lineRule="exact"/>
              <w:jc w:val="right"/>
              <w:rPr>
                <w:rFonts w:ascii="方正书宋_GBK" w:eastAsia="方正书宋_GBK"/>
                <w:b/>
              </w:rPr>
            </w:pPr>
          </w:p>
        </w:tc>
        <w:tc>
          <w:tcPr>
            <w:tcW w:w="949" w:type="dxa"/>
            <w:shd w:val="clear" w:color="auto" w:fill="auto"/>
            <w:vAlign w:val="center"/>
          </w:tcPr>
          <w:p>
            <w:pPr>
              <w:spacing w:line="300" w:lineRule="exact"/>
              <w:jc w:val="right"/>
              <w:rPr>
                <w:rFonts w:ascii="方正书宋_GBK" w:eastAsia="方正书宋_GBK"/>
                <w:b/>
              </w:rPr>
            </w:pPr>
          </w:p>
        </w:tc>
        <w:tc>
          <w:tcPr>
            <w:tcW w:w="949" w:type="dxa"/>
            <w:shd w:val="clear" w:color="auto" w:fill="auto"/>
            <w:vAlign w:val="center"/>
          </w:tcPr>
          <w:p>
            <w:pPr>
              <w:spacing w:line="300" w:lineRule="exact"/>
              <w:jc w:val="right"/>
              <w:rPr>
                <w:rFonts w:ascii="方正书宋_GBK" w:eastAsia="方正书宋_GBK"/>
                <w:b/>
              </w:rPr>
            </w:pPr>
          </w:p>
        </w:tc>
        <w:tc>
          <w:tcPr>
            <w:tcW w:w="906"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30" w:hRule="atLeast"/>
          <w:jc w:val="center"/>
        </w:trPr>
        <w:tc>
          <w:tcPr>
            <w:tcW w:w="24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961" w:type="dxa"/>
            <w:shd w:val="clear" w:color="auto" w:fill="auto"/>
            <w:vAlign w:val="center"/>
          </w:tcPr>
          <w:p>
            <w:pPr>
              <w:spacing w:line="300" w:lineRule="exact"/>
              <w:jc w:val="right"/>
              <w:rPr>
                <w:rFonts w:ascii="方正书宋_GBK" w:eastAsia="方正书宋_GBK"/>
              </w:rPr>
            </w:pPr>
            <w:r>
              <w:rPr>
                <w:rFonts w:ascii="方正书宋_GBK" w:eastAsia="方正书宋_GBK"/>
              </w:rPr>
              <w:t>90.38</w:t>
            </w:r>
          </w:p>
        </w:tc>
        <w:tc>
          <w:tcPr>
            <w:tcW w:w="107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计算机设备及软件</w:t>
            </w:r>
          </w:p>
        </w:tc>
        <w:tc>
          <w:tcPr>
            <w:tcW w:w="1189" w:type="dxa"/>
            <w:shd w:val="clear" w:color="auto" w:fill="auto"/>
            <w:vAlign w:val="center"/>
          </w:tcPr>
          <w:p>
            <w:pPr>
              <w:spacing w:line="300" w:lineRule="exact"/>
              <w:jc w:val="left"/>
              <w:rPr>
                <w:rFonts w:ascii="方正书宋_GBK" w:eastAsia="方正书宋_GBK"/>
              </w:rPr>
            </w:pPr>
            <w:r>
              <w:rPr>
                <w:rFonts w:ascii="方正书宋_GBK" w:eastAsia="方正书宋_GBK"/>
              </w:rPr>
              <w:t>A0201</w:t>
            </w:r>
          </w:p>
        </w:tc>
        <w:tc>
          <w:tcPr>
            <w:tcW w:w="74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w:t>
            </w:r>
          </w:p>
        </w:tc>
        <w:tc>
          <w:tcPr>
            <w:tcW w:w="744" w:type="dxa"/>
            <w:shd w:val="clear" w:color="auto" w:fill="auto"/>
            <w:vAlign w:val="center"/>
          </w:tcPr>
          <w:p>
            <w:pPr>
              <w:spacing w:line="300" w:lineRule="exact"/>
              <w:jc w:val="right"/>
              <w:rPr>
                <w:rFonts w:ascii="方正书宋_GBK" w:eastAsia="方正书宋_GBK"/>
              </w:rPr>
            </w:pPr>
            <w:r>
              <w:rPr>
                <w:rFonts w:ascii="方正书宋_GBK" w:eastAsia="方正书宋_GBK"/>
              </w:rPr>
              <w:t>2.00</w:t>
            </w:r>
          </w:p>
        </w:tc>
        <w:tc>
          <w:tcPr>
            <w:tcW w:w="833" w:type="dxa"/>
            <w:shd w:val="clear" w:color="auto" w:fill="auto"/>
            <w:vAlign w:val="center"/>
          </w:tcPr>
          <w:p>
            <w:pPr>
              <w:spacing w:line="300" w:lineRule="exact"/>
              <w:jc w:val="right"/>
              <w:rPr>
                <w:rFonts w:ascii="方正书宋_GBK" w:eastAsia="方正书宋_GBK"/>
              </w:rPr>
            </w:pPr>
            <w:r>
              <w:rPr>
                <w:rFonts w:ascii="方正书宋_GBK" w:eastAsia="方正书宋_GBK"/>
              </w:rPr>
              <w:t>0.48</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0.96</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0.96</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0.96</w:t>
            </w:r>
          </w:p>
        </w:tc>
        <w:tc>
          <w:tcPr>
            <w:tcW w:w="946"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0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961" w:type="dxa"/>
            <w:shd w:val="clear" w:color="auto" w:fill="auto"/>
            <w:vAlign w:val="center"/>
          </w:tcPr>
          <w:p>
            <w:pPr>
              <w:spacing w:line="300" w:lineRule="exact"/>
              <w:jc w:val="right"/>
              <w:rPr>
                <w:rFonts w:ascii="方正书宋_GBK" w:eastAsia="方正书宋_GBK"/>
              </w:rPr>
            </w:pPr>
            <w:r>
              <w:rPr>
                <w:rFonts w:ascii="方正书宋_GBK" w:eastAsia="方正书宋_GBK"/>
              </w:rPr>
              <w:t>90.38</w:t>
            </w:r>
          </w:p>
        </w:tc>
        <w:tc>
          <w:tcPr>
            <w:tcW w:w="107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存储设备</w:t>
            </w:r>
          </w:p>
        </w:tc>
        <w:tc>
          <w:tcPr>
            <w:tcW w:w="1189" w:type="dxa"/>
            <w:shd w:val="clear" w:color="auto" w:fill="auto"/>
            <w:vAlign w:val="center"/>
          </w:tcPr>
          <w:p>
            <w:pPr>
              <w:spacing w:line="300" w:lineRule="exact"/>
              <w:jc w:val="left"/>
              <w:rPr>
                <w:rFonts w:ascii="方正书宋_GBK" w:eastAsia="方正书宋_GBK"/>
              </w:rPr>
            </w:pPr>
            <w:r>
              <w:rPr>
                <w:rFonts w:ascii="方正书宋_GBK" w:eastAsia="方正书宋_GBK"/>
              </w:rPr>
              <w:t>A020105</w:t>
            </w:r>
          </w:p>
        </w:tc>
        <w:tc>
          <w:tcPr>
            <w:tcW w:w="74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w:t>
            </w:r>
          </w:p>
        </w:tc>
        <w:tc>
          <w:tcPr>
            <w:tcW w:w="744"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833" w:type="dxa"/>
            <w:shd w:val="clear" w:color="auto" w:fill="auto"/>
            <w:vAlign w:val="center"/>
          </w:tcPr>
          <w:p>
            <w:pPr>
              <w:spacing w:line="300" w:lineRule="exact"/>
              <w:jc w:val="right"/>
              <w:rPr>
                <w:rFonts w:ascii="方正书宋_GBK" w:eastAsia="方正书宋_GBK"/>
              </w:rPr>
            </w:pPr>
            <w:r>
              <w:rPr>
                <w:rFonts w:ascii="方正书宋_GBK" w:eastAsia="方正书宋_GBK"/>
              </w:rPr>
              <w:t>0.59</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0.59</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0.59</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0.59</w:t>
            </w:r>
          </w:p>
        </w:tc>
        <w:tc>
          <w:tcPr>
            <w:tcW w:w="946"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0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961" w:type="dxa"/>
            <w:shd w:val="clear" w:color="auto" w:fill="auto"/>
            <w:vAlign w:val="center"/>
          </w:tcPr>
          <w:p>
            <w:pPr>
              <w:spacing w:line="300" w:lineRule="exact"/>
              <w:jc w:val="right"/>
              <w:rPr>
                <w:rFonts w:ascii="方正书宋_GBK" w:eastAsia="方正书宋_GBK"/>
              </w:rPr>
            </w:pPr>
            <w:r>
              <w:rPr>
                <w:rFonts w:ascii="方正书宋_GBK" w:eastAsia="方正书宋_GBK"/>
              </w:rPr>
              <w:t>90.38</w:t>
            </w:r>
          </w:p>
        </w:tc>
        <w:tc>
          <w:tcPr>
            <w:tcW w:w="107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普通电视设备(电视机)</w:t>
            </w:r>
          </w:p>
        </w:tc>
        <w:tc>
          <w:tcPr>
            <w:tcW w:w="1189" w:type="dxa"/>
            <w:shd w:val="clear" w:color="auto" w:fill="auto"/>
            <w:vAlign w:val="center"/>
          </w:tcPr>
          <w:p>
            <w:pPr>
              <w:spacing w:line="300" w:lineRule="exact"/>
              <w:jc w:val="left"/>
              <w:rPr>
                <w:rFonts w:ascii="方正书宋_GBK" w:eastAsia="方正书宋_GBK"/>
              </w:rPr>
            </w:pPr>
            <w:r>
              <w:rPr>
                <w:rFonts w:ascii="方正书宋_GBK" w:eastAsia="方正书宋_GBK"/>
              </w:rPr>
              <w:t>A02091001</w:t>
            </w:r>
          </w:p>
        </w:tc>
        <w:tc>
          <w:tcPr>
            <w:tcW w:w="74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w:t>
            </w:r>
          </w:p>
        </w:tc>
        <w:tc>
          <w:tcPr>
            <w:tcW w:w="744"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833"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946"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0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日常公用经费</w:t>
            </w:r>
          </w:p>
        </w:tc>
        <w:tc>
          <w:tcPr>
            <w:tcW w:w="961" w:type="dxa"/>
            <w:shd w:val="clear" w:color="auto" w:fill="auto"/>
            <w:vAlign w:val="center"/>
          </w:tcPr>
          <w:p>
            <w:pPr>
              <w:spacing w:line="300" w:lineRule="exact"/>
              <w:jc w:val="right"/>
              <w:rPr>
                <w:rFonts w:ascii="方正书宋_GBK" w:eastAsia="方正书宋_GBK"/>
              </w:rPr>
            </w:pPr>
            <w:r>
              <w:rPr>
                <w:rFonts w:ascii="方正书宋_GBK" w:eastAsia="方正书宋_GBK"/>
              </w:rPr>
              <w:t>90.38</w:t>
            </w:r>
          </w:p>
        </w:tc>
        <w:tc>
          <w:tcPr>
            <w:tcW w:w="107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家具用具</w:t>
            </w:r>
          </w:p>
        </w:tc>
        <w:tc>
          <w:tcPr>
            <w:tcW w:w="1189" w:type="dxa"/>
            <w:shd w:val="clear" w:color="auto" w:fill="auto"/>
            <w:vAlign w:val="center"/>
          </w:tcPr>
          <w:p>
            <w:pPr>
              <w:spacing w:line="300" w:lineRule="exact"/>
              <w:jc w:val="left"/>
              <w:rPr>
                <w:rFonts w:ascii="方正书宋_GBK" w:eastAsia="方正书宋_GBK"/>
              </w:rPr>
            </w:pPr>
            <w:r>
              <w:rPr>
                <w:rFonts w:ascii="方正书宋_GBK" w:eastAsia="方正书宋_GBK"/>
              </w:rPr>
              <w:t>A06</w:t>
            </w:r>
          </w:p>
        </w:tc>
        <w:tc>
          <w:tcPr>
            <w:tcW w:w="74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套</w:t>
            </w:r>
          </w:p>
        </w:tc>
        <w:tc>
          <w:tcPr>
            <w:tcW w:w="744" w:type="dxa"/>
            <w:shd w:val="clear" w:color="auto" w:fill="auto"/>
            <w:vAlign w:val="center"/>
          </w:tcPr>
          <w:p>
            <w:pPr>
              <w:spacing w:line="300" w:lineRule="exact"/>
              <w:jc w:val="right"/>
              <w:rPr>
                <w:rFonts w:ascii="方正书宋_GBK" w:eastAsia="方正书宋_GBK"/>
              </w:rPr>
            </w:pPr>
            <w:r>
              <w:rPr>
                <w:rFonts w:ascii="方正书宋_GBK" w:eastAsia="方正书宋_GBK"/>
              </w:rPr>
              <w:t>4.00</w:t>
            </w:r>
          </w:p>
        </w:tc>
        <w:tc>
          <w:tcPr>
            <w:tcW w:w="833" w:type="dxa"/>
            <w:shd w:val="clear" w:color="auto" w:fill="auto"/>
            <w:vAlign w:val="center"/>
          </w:tcPr>
          <w:p>
            <w:pPr>
              <w:spacing w:line="300" w:lineRule="exact"/>
              <w:jc w:val="right"/>
              <w:rPr>
                <w:rFonts w:ascii="方正书宋_GBK" w:eastAsia="方正书宋_GBK"/>
              </w:rPr>
            </w:pPr>
            <w:r>
              <w:rPr>
                <w:rFonts w:ascii="方正书宋_GBK" w:eastAsia="方正书宋_GBK"/>
              </w:rPr>
              <w:t>0.30</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1.20</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1.20</w:t>
            </w:r>
          </w:p>
        </w:tc>
        <w:tc>
          <w:tcPr>
            <w:tcW w:w="946" w:type="dxa"/>
            <w:shd w:val="clear" w:color="auto" w:fill="auto"/>
            <w:vAlign w:val="center"/>
          </w:tcPr>
          <w:p>
            <w:pPr>
              <w:spacing w:line="300" w:lineRule="exact"/>
              <w:jc w:val="right"/>
              <w:rPr>
                <w:rFonts w:ascii="方正书宋_GBK" w:eastAsia="方正书宋_GBK"/>
              </w:rPr>
            </w:pPr>
            <w:r>
              <w:rPr>
                <w:rFonts w:ascii="方正书宋_GBK" w:eastAsia="方正书宋_GBK"/>
              </w:rPr>
              <w:t>1.20</w:t>
            </w:r>
          </w:p>
        </w:tc>
        <w:tc>
          <w:tcPr>
            <w:tcW w:w="946"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49" w:type="dxa"/>
            <w:shd w:val="clear" w:color="auto" w:fill="auto"/>
            <w:vAlign w:val="center"/>
          </w:tcPr>
          <w:p>
            <w:pPr>
              <w:spacing w:line="300" w:lineRule="exact"/>
              <w:jc w:val="right"/>
              <w:rPr>
                <w:rFonts w:ascii="方正书宋_GBK" w:eastAsia="方正书宋_GBK"/>
              </w:rPr>
            </w:pPr>
          </w:p>
        </w:tc>
        <w:tc>
          <w:tcPr>
            <w:tcW w:w="906" w:type="dxa"/>
            <w:shd w:val="clear" w:color="auto" w:fill="auto"/>
            <w:vAlign w:val="center"/>
          </w:tcPr>
          <w:p>
            <w:pPr>
              <w:spacing w:line="300" w:lineRule="exact"/>
              <w:jc w:val="right"/>
              <w:rPr>
                <w:rFonts w:ascii="方正书宋_GBK" w:eastAsia="方正书宋_GBK"/>
              </w:rPr>
            </w:pPr>
          </w:p>
        </w:tc>
      </w:tr>
    </w:tbl>
    <w:p>
      <w:pPr>
        <w:autoSpaceDE w:val="0"/>
        <w:autoSpaceDN w:val="0"/>
        <w:adjustRightInd w:val="0"/>
        <w:ind w:left="198" w:firstLine="640" w:firstLineChars="200"/>
        <w:jc w:val="left"/>
        <w:rPr>
          <w:rFonts w:ascii="黑体" w:hAnsi="黑体" w:eastAsia="黑体" w:cs="Times New Roman"/>
          <w:sz w:val="32"/>
          <w:szCs w:val="32"/>
        </w:rPr>
      </w:pPr>
    </w:p>
    <w:p>
      <w:pPr>
        <w:autoSpaceDE w:val="0"/>
        <w:autoSpaceDN w:val="0"/>
        <w:adjustRightInd w:val="0"/>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七、国有资产信息</w:t>
      </w:r>
    </w:p>
    <w:p>
      <w:pPr>
        <w:ind w:firstLine="640"/>
        <w:rPr>
          <w:rFonts w:ascii="仿宋_GB2312" w:hAnsi="黑体" w:eastAsia="仿宋_GB2312" w:cs="Times New Roman"/>
          <w:sz w:val="32"/>
          <w:szCs w:val="32"/>
        </w:rPr>
      </w:pPr>
      <w:r>
        <w:rPr>
          <w:rFonts w:hint="eastAsia" w:ascii="仿宋_GB2312" w:hAnsi="黑体" w:eastAsia="仿宋_GB2312" w:cs="Times New Roman"/>
          <w:sz w:val="32"/>
          <w:szCs w:val="32"/>
        </w:rPr>
        <w:t>中国农工民主党河北省委员会上年末固定资产金额为62.07万元（</w:t>
      </w:r>
      <w:r>
        <w:rPr>
          <w:rFonts w:hint="eastAsia" w:ascii="Times New Roman" w:hAnsi="Times New Roman" w:eastAsia="方正仿宋_GBK" w:cs="Times New Roman"/>
          <w:sz w:val="32"/>
          <w:szCs w:val="32"/>
        </w:rPr>
        <w:t>详见下表），</w:t>
      </w:r>
      <w:r>
        <w:rPr>
          <w:rFonts w:hint="eastAsia" w:ascii="仿宋_GB2312" w:hAnsi="黑体" w:eastAsia="仿宋_GB2312" w:cs="Times New Roman"/>
          <w:sz w:val="32"/>
          <w:szCs w:val="32"/>
        </w:rPr>
        <w:t>本年度各处室拟购置固定资产</w:t>
      </w:r>
      <w:r>
        <w:rPr>
          <w:rFonts w:hint="eastAsia" w:ascii="Times New Roman" w:hAnsi="Times New Roman" w:eastAsia="方正仿宋_GBK" w:cs="Times New Roman"/>
          <w:sz w:val="32"/>
          <w:szCs w:val="32"/>
        </w:rPr>
        <w:t>总额为3万元，</w:t>
      </w:r>
      <w:r>
        <w:rPr>
          <w:rFonts w:hint="eastAsia" w:ascii="仿宋_GB2312" w:hAnsi="黑体" w:eastAsia="仿宋_GB2312" w:cs="Times New Roman"/>
          <w:sz w:val="32"/>
          <w:szCs w:val="32"/>
        </w:rPr>
        <w:t>主要为计算机设备、存储设备、办公家具等，已列入政府采购预算，详见政府采购预算表。</w:t>
      </w:r>
    </w:p>
    <w:tbl>
      <w:tblPr>
        <w:tblStyle w:val="11"/>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vAlign w:val="center"/>
          </w:tcPr>
          <w:p>
            <w:pPr>
              <w:widowControl/>
              <w:rPr>
                <w:rFonts w:ascii="宋体" w:hAnsi="宋体" w:eastAsia="宋体" w:cs="宋体"/>
                <w:b/>
                <w:bCs/>
                <w:kern w:val="0"/>
                <w:sz w:val="32"/>
                <w:szCs w:val="32"/>
              </w:rPr>
            </w:pPr>
          </w:p>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河北省省直部门固定资产占用情况表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编制部门：中国农工民主党河北省委员会</w:t>
            </w:r>
          </w:p>
        </w:tc>
        <w:tc>
          <w:tcPr>
            <w:tcW w:w="5103" w:type="dxa"/>
            <w:tcBorders>
              <w:top w:val="nil"/>
              <w:left w:val="nil"/>
              <w:bottom w:val="nil"/>
              <w:right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截止时间：2018年12月31日  </w:t>
            </w:r>
          </w:p>
        </w:tc>
      </w:tr>
      <w:tr>
        <w:tblPrEx>
          <w:tblLayout w:type="fixed"/>
          <w:tblCellMar>
            <w:top w:w="0" w:type="dxa"/>
            <w:left w:w="108" w:type="dxa"/>
            <w:bottom w:w="0" w:type="dxa"/>
            <w:right w:w="108" w:type="dxa"/>
          </w:tblCellMar>
        </w:tblPrEx>
        <w:trPr>
          <w:trHeight w:val="645" w:hRule="atLeast"/>
        </w:trPr>
        <w:tc>
          <w:tcPr>
            <w:tcW w:w="5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价值（金额单位：万元）</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资产总额</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62.07</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1、房屋（平方米）</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其中：办公用房（平方米）</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2、车辆（台、辆）</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cs="宋体"/>
                <w:kern w:val="0"/>
                <w:sz w:val="22"/>
              </w:rPr>
              <w:t>24.4482</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3、单价在20万元以上的设备</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w:t>
            </w:r>
          </w:p>
        </w:tc>
      </w:tr>
      <w:tr>
        <w:tblPrEx>
          <w:tblLayout w:type="fixed"/>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4、其他固定资产</w:t>
            </w:r>
          </w:p>
        </w:tc>
        <w:tc>
          <w:tcPr>
            <w:tcW w:w="31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55</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37.6218</w:t>
            </w:r>
          </w:p>
        </w:tc>
      </w:tr>
    </w:tbl>
    <w:p>
      <w:pPr>
        <w:autoSpaceDE w:val="0"/>
        <w:autoSpaceDN w:val="0"/>
        <w:adjustRightInd w:val="0"/>
        <w:ind w:left="198" w:firstLine="640" w:firstLineChars="200"/>
        <w:jc w:val="left"/>
        <w:rPr>
          <w:rFonts w:hint="eastAsia" w:ascii="黑体" w:hAnsi="黑体" w:eastAsia="黑体" w:cs="Times New Roman"/>
          <w:sz w:val="32"/>
          <w:szCs w:val="32"/>
        </w:rPr>
      </w:pP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八、名词解释</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1、一般</w:t>
      </w:r>
      <w:r>
        <w:rPr>
          <w:rFonts w:hint="eastAsia" w:ascii="Times New Roman" w:hAnsi="Times New Roman" w:eastAsia="方正仿宋_GBK" w:cs="Times New Roman"/>
          <w:b/>
          <w:sz w:val="32"/>
          <w:szCs w:val="32"/>
        </w:rPr>
        <w:t>公</w:t>
      </w:r>
      <w:r>
        <w:rPr>
          <w:rFonts w:ascii="Times New Roman" w:hAnsi="Times New Roman" w:eastAsia="方正仿宋_GBK" w:cs="Times New Roman"/>
          <w:b/>
          <w:sz w:val="32"/>
          <w:szCs w:val="32"/>
        </w:rPr>
        <w:t>共预算拨款收入：</w:t>
      </w:r>
      <w:r>
        <w:rPr>
          <w:rFonts w:ascii="Times New Roman" w:hAnsi="Times New Roman" w:eastAsia="方正仿宋_GBK" w:cs="Times New Roman"/>
          <w:sz w:val="32"/>
          <w:szCs w:val="32"/>
        </w:rPr>
        <w:t>指省级财政当年拨付的资金。</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2、事业收入：</w:t>
      </w:r>
      <w:r>
        <w:rPr>
          <w:rFonts w:ascii="Times New Roman" w:hAnsi="Times New Roman" w:eastAsia="方正仿宋_GBK" w:cs="Times New Roman"/>
          <w:sz w:val="32"/>
          <w:szCs w:val="32"/>
        </w:rPr>
        <w:t>指事业单位开展专业业务活动及辅助活动所取得的收入。</w:t>
      </w:r>
    </w:p>
    <w:p>
      <w:pPr>
        <w:tabs>
          <w:tab w:val="left" w:pos="11490"/>
        </w:tabs>
        <w:ind w:firstLine="640" w:firstLineChars="200"/>
        <w:rPr>
          <w:rFonts w:ascii="Times New Roman" w:hAnsi="Times New Roman" w:eastAsia="方正仿宋_GBK" w:cs="Times New Roman"/>
          <w:b/>
          <w:sz w:val="32"/>
          <w:szCs w:val="32"/>
        </w:rPr>
      </w:pPr>
      <w:r>
        <w:rPr>
          <w:rFonts w:ascii="Times New Roman" w:hAnsi="Times New Roman" w:eastAsia="方正仿宋_GBK" w:cs="Times New Roman"/>
          <w:b/>
          <w:sz w:val="32"/>
          <w:szCs w:val="32"/>
        </w:rPr>
        <w:t>3、其他收入：</w:t>
      </w:r>
      <w:r>
        <w:rPr>
          <w:rFonts w:ascii="Times New Roman" w:hAnsi="Times New Roman" w:eastAsia="方正仿宋_GBK" w:cs="Times New Roman"/>
          <w:sz w:val="32"/>
          <w:szCs w:val="32"/>
        </w:rPr>
        <w:t>指除“</w:t>
      </w:r>
      <w:r>
        <w:rPr>
          <w:rFonts w:hint="eastAsia" w:ascii="Times New Roman" w:hAnsi="Times New Roman" w:eastAsia="方正仿宋_GBK" w:cs="Times New Roman"/>
          <w:sz w:val="32"/>
          <w:szCs w:val="32"/>
        </w:rPr>
        <w:t>一般公共预算</w:t>
      </w:r>
      <w:r>
        <w:rPr>
          <w:rFonts w:ascii="Times New Roman" w:hAnsi="Times New Roman" w:eastAsia="方正仿宋_GBK" w:cs="Times New Roman"/>
          <w:sz w:val="32"/>
          <w:szCs w:val="32"/>
        </w:rPr>
        <w:t>拨款收入”、“事业收入”等以外的收入。主要是按规定动用的租房收入、存款利息收入等。</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4、基本支出：</w:t>
      </w:r>
      <w:r>
        <w:rPr>
          <w:rFonts w:hint="eastAsia" w:ascii="Times New Roman" w:hAnsi="Times New Roman" w:eastAsia="方正仿宋_GBK" w:cs="Times New Roman"/>
          <w:sz w:val="32"/>
          <w:szCs w:val="32"/>
        </w:rPr>
        <w:t>指为保障机构正常运转、完成日常工作任务而发生的人员支出和公用支出。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5、项目支出：</w:t>
      </w:r>
      <w:r>
        <w:rPr>
          <w:rFonts w:hint="eastAsia" w:ascii="Times New Roman" w:hAnsi="Times New Roman" w:eastAsia="方正仿宋_GBK" w:cs="Times New Roman"/>
          <w:sz w:val="32"/>
          <w:szCs w:val="32"/>
        </w:rPr>
        <w:t>指在基本支出之外为完成特定行政任务和事业发展目标所发生的支出。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6、上缴上级支出：</w:t>
      </w:r>
      <w:r>
        <w:rPr>
          <w:rFonts w:hint="eastAsia" w:ascii="Times New Roman" w:hAnsi="Times New Roman" w:eastAsia="方正仿宋_GBK" w:cs="Times New Roman"/>
          <w:sz w:val="32"/>
          <w:szCs w:val="32"/>
        </w:rPr>
        <w:t>指下级单位上缴上级的支出。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7、“三公”经费：</w:t>
      </w:r>
      <w:r>
        <w:rPr>
          <w:rFonts w:ascii="Times New Roman" w:hAnsi="Times New Roman" w:eastAsia="方正仿宋_GBK" w:cs="Times New Roman"/>
          <w:sz w:val="32"/>
          <w:szCs w:val="32"/>
        </w:rPr>
        <w:t>纳入省级财政预算管理的“三公”经费，是指省级部门用财政拨款安排的因公出国（境）费、公务用车购置及运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费和公务接待费。其中，因公出国（境）费反映单位公务出国（境）的住宿费、旅费、伙食补助费、杂费、培训费等支出；公务用车购置及运</w:t>
      </w:r>
      <w:r>
        <w:rPr>
          <w:rFonts w:hint="eastAsia" w:ascii="Times New Roman" w:hAnsi="Times New Roman" w:eastAsia="方正仿宋_GBK" w:cs="Times New Roman"/>
          <w:sz w:val="32"/>
          <w:szCs w:val="32"/>
        </w:rPr>
        <w:t>维</w:t>
      </w:r>
      <w:r>
        <w:rPr>
          <w:rFonts w:ascii="Times New Roman" w:hAnsi="Times New Roman" w:eastAsia="方正仿宋_GBK" w:cs="Times New Roman"/>
          <w:sz w:val="32"/>
          <w:szCs w:val="32"/>
        </w:rPr>
        <w:t>费反映单位公务用车购置费及租用费、燃料费、维修费、过路过桥费、保险费、安全奖励费用等支出；公务接待费反映单位按规定开支的各类公务接待（含外宾接待）支出。</w:t>
      </w:r>
    </w:p>
    <w:p>
      <w:pPr>
        <w:tabs>
          <w:tab w:val="left" w:pos="11490"/>
        </w:tabs>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b/>
          <w:sz w:val="32"/>
          <w:szCs w:val="32"/>
        </w:rPr>
        <w:t>8、机关运行费：</w:t>
      </w:r>
      <w:r>
        <w:rPr>
          <w:rFonts w:hint="eastAsia" w:ascii="Times New Roman" w:hAnsi="Times New Roman" w:eastAsia="方正仿宋_GBK" w:cs="Times New Roman"/>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Times New Roman" w:hAnsi="Times New Roman" w:eastAsia="方正仿宋_GBK" w:cs="Times New Roman"/>
          <w:sz w:val="32"/>
          <w:szCs w:val="32"/>
        </w:rPr>
        <w:t>其他费用。</w:t>
      </w:r>
    </w:p>
    <w:p>
      <w:pPr>
        <w:tabs>
          <w:tab w:val="left" w:pos="11490"/>
        </w:tabs>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b/>
          <w:sz w:val="32"/>
          <w:szCs w:val="32"/>
        </w:rPr>
        <w:t>9、上年结转：</w:t>
      </w:r>
      <w:r>
        <w:rPr>
          <w:rFonts w:hint="eastAsia" w:ascii="Times New Roman" w:hAnsi="Times New Roman" w:eastAsia="方正仿宋_GBK" w:cs="Times New Roman"/>
          <w:sz w:val="32"/>
          <w:szCs w:val="32"/>
        </w:rPr>
        <w:t>指以前年度尚未完成、结转到本年仍按原规定用途继续使用的资金。</w:t>
      </w:r>
    </w:p>
    <w:p>
      <w:pPr>
        <w:tabs>
          <w:tab w:val="left" w:pos="11490"/>
        </w:tabs>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b/>
          <w:sz w:val="32"/>
          <w:szCs w:val="32"/>
        </w:rPr>
        <w:t>10、事业单位经营支出：</w:t>
      </w:r>
      <w:r>
        <w:rPr>
          <w:rFonts w:hint="eastAsia" w:ascii="Times New Roman" w:hAnsi="Times New Roman" w:eastAsia="方正仿宋_GBK" w:cs="Times New Roman"/>
          <w:sz w:val="32"/>
          <w:szCs w:val="32"/>
        </w:rPr>
        <w:t>指事业单位在专业业务活动及其辅助活动之外开展非独立核算经营活动发生的支出。</w:t>
      </w:r>
    </w:p>
    <w:p>
      <w:pPr>
        <w:autoSpaceDE w:val="0"/>
        <w:autoSpaceDN w:val="0"/>
        <w:adjustRightInd w:val="0"/>
        <w:ind w:left="198" w:firstLine="640" w:firstLineChars="200"/>
        <w:jc w:val="left"/>
        <w:rPr>
          <w:rFonts w:ascii="黑体" w:hAnsi="黑体" w:eastAsia="黑体" w:cs="Times New Roman"/>
          <w:sz w:val="32"/>
          <w:szCs w:val="32"/>
        </w:rPr>
      </w:pPr>
      <w:r>
        <w:rPr>
          <w:rFonts w:hint="eastAsia" w:ascii="黑体" w:hAnsi="黑体" w:eastAsia="黑体" w:cs="Times New Roman"/>
          <w:sz w:val="32"/>
          <w:szCs w:val="32"/>
        </w:rPr>
        <w:t>九、其他需要说明的事项</w:t>
      </w:r>
    </w:p>
    <w:p>
      <w:pPr>
        <w:ind w:firstLine="640" w:firstLineChars="200"/>
        <w:rPr>
          <w:rFonts w:ascii="仿宋_GB2312" w:hAnsi="Times New Roman" w:eastAsia="仿宋_GB2312" w:cs="Times New Roman"/>
          <w:sz w:val="32"/>
          <w:szCs w:val="32"/>
        </w:rPr>
        <w:sectPr>
          <w:footerReference r:id="rId3" w:type="default"/>
          <w:pgSz w:w="16839" w:h="11907" w:orient="landscape"/>
          <w:pgMar w:top="1134" w:right="1531" w:bottom="1134" w:left="1474" w:header="851" w:footer="992" w:gutter="0"/>
          <w:pgNumType w:start="1"/>
          <w:cols w:space="720" w:num="1"/>
          <w:docGrid w:type="lines" w:linePitch="312" w:charSpace="0"/>
        </w:sectPr>
      </w:pPr>
      <w:r>
        <w:rPr>
          <w:rFonts w:hint="eastAsia" w:ascii="仿宋_GB2312" w:hAnsi="Times New Roman" w:eastAsia="仿宋_GB2312" w:cs="Times New Roman"/>
          <w:sz w:val="32"/>
          <w:szCs w:val="32"/>
        </w:rPr>
        <w:t>我部门无其他需要说明的事项。</w:t>
      </w:r>
    </w:p>
    <w:p>
      <w:pPr>
        <w:outlineLvl w:val="0"/>
        <w:rPr>
          <w:rFonts w:ascii="仿宋_GB2312" w:hAnsi="Times New Roman" w:eastAsia="仿宋_GB2312" w:cs="Times New Roman"/>
          <w:sz w:val="32"/>
          <w:szCs w:val="32"/>
        </w:rPr>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pStyle w:val="3"/>
                          </w:pPr>
                          <w:r>
                            <w:fldChar w:fldCharType="begin"/>
                          </w:r>
                          <w:r>
                            <w:instrText xml:space="preserve"> PAGE  \* MERGEFORMAT </w:instrText>
                          </w:r>
                          <w:r>
                            <w:fldChar w:fldCharType="separate"/>
                          </w:r>
                          <w:r>
                            <w:t>9</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1jjZ2rgBAABeAwAADgAAAAAAAAABACAAAAAeAQAAZHJzL2Uyb0RvYy54bWxQSwUGAAAAAAYABgBZ&#10;AQAASAUAAAAA&#10;">
              <v:fill on="f" focussize="0,0"/>
              <v:stroke on="f" joinstyle="miter"/>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032"/>
    <w:rsid w:val="00037AF6"/>
    <w:rsid w:val="00075D5F"/>
    <w:rsid w:val="000B529B"/>
    <w:rsid w:val="000C39DA"/>
    <w:rsid w:val="000C3A19"/>
    <w:rsid w:val="001245BB"/>
    <w:rsid w:val="001251A3"/>
    <w:rsid w:val="001F7873"/>
    <w:rsid w:val="00241FD4"/>
    <w:rsid w:val="00251B12"/>
    <w:rsid w:val="00296113"/>
    <w:rsid w:val="002A673A"/>
    <w:rsid w:val="002C5E13"/>
    <w:rsid w:val="002C62BC"/>
    <w:rsid w:val="002E0EB8"/>
    <w:rsid w:val="002F3E58"/>
    <w:rsid w:val="0030542C"/>
    <w:rsid w:val="00311B7A"/>
    <w:rsid w:val="003772B8"/>
    <w:rsid w:val="00424943"/>
    <w:rsid w:val="0043175C"/>
    <w:rsid w:val="00437296"/>
    <w:rsid w:val="00451590"/>
    <w:rsid w:val="00451871"/>
    <w:rsid w:val="004706DE"/>
    <w:rsid w:val="00472923"/>
    <w:rsid w:val="004B0C3A"/>
    <w:rsid w:val="004D5788"/>
    <w:rsid w:val="004E3066"/>
    <w:rsid w:val="004E74CD"/>
    <w:rsid w:val="00550A38"/>
    <w:rsid w:val="00572067"/>
    <w:rsid w:val="00573562"/>
    <w:rsid w:val="00590ECE"/>
    <w:rsid w:val="00614A29"/>
    <w:rsid w:val="00673D76"/>
    <w:rsid w:val="006854F0"/>
    <w:rsid w:val="006B1C4A"/>
    <w:rsid w:val="006B610D"/>
    <w:rsid w:val="006E49F5"/>
    <w:rsid w:val="007013C8"/>
    <w:rsid w:val="00753836"/>
    <w:rsid w:val="0075393C"/>
    <w:rsid w:val="00754592"/>
    <w:rsid w:val="00776C08"/>
    <w:rsid w:val="007C219A"/>
    <w:rsid w:val="007E1DA8"/>
    <w:rsid w:val="007F6C26"/>
    <w:rsid w:val="00813208"/>
    <w:rsid w:val="008334AE"/>
    <w:rsid w:val="00836FED"/>
    <w:rsid w:val="0083724E"/>
    <w:rsid w:val="00845CD2"/>
    <w:rsid w:val="00852B0D"/>
    <w:rsid w:val="00881692"/>
    <w:rsid w:val="008A6576"/>
    <w:rsid w:val="008B3CC5"/>
    <w:rsid w:val="008B52CD"/>
    <w:rsid w:val="008E4261"/>
    <w:rsid w:val="008F4662"/>
    <w:rsid w:val="00905D08"/>
    <w:rsid w:val="00925753"/>
    <w:rsid w:val="009425F4"/>
    <w:rsid w:val="00966C5C"/>
    <w:rsid w:val="00973104"/>
    <w:rsid w:val="00995BF0"/>
    <w:rsid w:val="009973B9"/>
    <w:rsid w:val="009A16D5"/>
    <w:rsid w:val="009A353D"/>
    <w:rsid w:val="009B0B77"/>
    <w:rsid w:val="009B511E"/>
    <w:rsid w:val="00A44E3D"/>
    <w:rsid w:val="00A72D2E"/>
    <w:rsid w:val="00A74447"/>
    <w:rsid w:val="00A74CE5"/>
    <w:rsid w:val="00A911E7"/>
    <w:rsid w:val="00A939D9"/>
    <w:rsid w:val="00AB55D0"/>
    <w:rsid w:val="00AE7D75"/>
    <w:rsid w:val="00B20712"/>
    <w:rsid w:val="00B43238"/>
    <w:rsid w:val="00B45DD3"/>
    <w:rsid w:val="00B75216"/>
    <w:rsid w:val="00B91D52"/>
    <w:rsid w:val="00B9490F"/>
    <w:rsid w:val="00BA1ACD"/>
    <w:rsid w:val="00BD09F8"/>
    <w:rsid w:val="00CA7176"/>
    <w:rsid w:val="00CB43E0"/>
    <w:rsid w:val="00CC75B0"/>
    <w:rsid w:val="00CD2773"/>
    <w:rsid w:val="00CE143B"/>
    <w:rsid w:val="00D27003"/>
    <w:rsid w:val="00D53B38"/>
    <w:rsid w:val="00E167C7"/>
    <w:rsid w:val="00EC47F6"/>
    <w:rsid w:val="00F66032"/>
    <w:rsid w:val="00F87C1E"/>
    <w:rsid w:val="00F958C2"/>
    <w:rsid w:val="037E1D0B"/>
    <w:rsid w:val="03825A1A"/>
    <w:rsid w:val="0CC0333B"/>
    <w:rsid w:val="25B57FAB"/>
    <w:rsid w:val="26BF2267"/>
    <w:rsid w:val="278E5994"/>
    <w:rsid w:val="2EF220A7"/>
    <w:rsid w:val="59340C62"/>
    <w:rsid w:val="5FDB281B"/>
    <w:rsid w:val="78D72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unhideWhenUsed/>
    <w:qFormat/>
    <w:uiPriority w:val="99"/>
    <w:rPr>
      <w:sz w:val="18"/>
      <w:szCs w:val="18"/>
    </w:rPr>
  </w:style>
  <w:style w:type="paragraph" w:styleId="3">
    <w:name w:val="footer"/>
    <w:basedOn w:val="1"/>
    <w:link w:val="13"/>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toc 1"/>
    <w:basedOn w:val="1"/>
    <w:next w:val="1"/>
    <w:qFormat/>
    <w:uiPriority w:val="0"/>
    <w:rPr>
      <w:rFonts w:ascii="Times New Roman" w:hAnsi="Times New Roman" w:eastAsia="宋体" w:cs="Times New Roman"/>
      <w:szCs w:val="24"/>
    </w:rPr>
  </w:style>
  <w:style w:type="paragraph" w:styleId="6">
    <w:name w:val="footnote text"/>
    <w:basedOn w:val="1"/>
    <w:unhideWhenUsed/>
    <w:uiPriority w:val="99"/>
    <w:pPr>
      <w:snapToGrid w:val="0"/>
      <w:jc w:val="left"/>
    </w:pPr>
    <w:rPr>
      <w:rFonts w:ascii="Calibri" w:hAnsi="Calibri" w:eastAsia="宋体" w:cs="Times New Roman"/>
      <w:sz w:val="18"/>
      <w:szCs w:val="18"/>
    </w:rPr>
  </w:style>
  <w:style w:type="paragraph" w:styleId="7">
    <w:name w:val="toc 2"/>
    <w:basedOn w:val="1"/>
    <w:next w:val="1"/>
    <w:qFormat/>
    <w:uiPriority w:val="0"/>
    <w:pPr>
      <w:ind w:left="420" w:leftChars="200"/>
    </w:pPr>
    <w:rPr>
      <w:rFonts w:ascii="Times New Roman" w:hAnsi="Times New Roman" w:eastAsia="宋体" w:cs="Times New Roman"/>
      <w:szCs w:val="24"/>
    </w:rPr>
  </w:style>
  <w:style w:type="character" w:styleId="9">
    <w:name w:val="Hyperlink"/>
    <w:unhideWhenUsed/>
    <w:uiPriority w:val="99"/>
    <w:rPr>
      <w:color w:val="0000FF"/>
      <w:u w:val="single"/>
    </w:rPr>
  </w:style>
  <w:style w:type="character" w:styleId="10">
    <w:name w:val="footnote reference"/>
    <w:unhideWhenUsed/>
    <w:qFormat/>
    <w:uiPriority w:val="99"/>
    <w:rPr>
      <w:vertAlign w:val="superscript"/>
    </w:rPr>
  </w:style>
  <w:style w:type="character" w:customStyle="1" w:styleId="12">
    <w:name w:val="页眉 Char"/>
    <w:basedOn w:val="8"/>
    <w:link w:val="4"/>
    <w:qFormat/>
    <w:uiPriority w:val="0"/>
    <w:rPr>
      <w:rFonts w:ascii="Times New Roman" w:hAnsi="Times New Roman" w:eastAsia="宋体" w:cs="Times New Roman"/>
      <w:sz w:val="18"/>
      <w:szCs w:val="18"/>
    </w:rPr>
  </w:style>
  <w:style w:type="character" w:customStyle="1" w:styleId="13">
    <w:name w:val="页脚 Char"/>
    <w:basedOn w:val="8"/>
    <w:link w:val="3"/>
    <w:qFormat/>
    <w:uiPriority w:val="0"/>
    <w:rPr>
      <w:rFonts w:ascii="Times New Roman" w:hAnsi="Times New Roman" w:eastAsia="宋体" w:cs="Times New Roman"/>
      <w:sz w:val="18"/>
      <w:szCs w:val="18"/>
    </w:rPr>
  </w:style>
  <w:style w:type="character" w:customStyle="1" w:styleId="14">
    <w:name w:val="批注框文本 Char"/>
    <w:basedOn w:val="8"/>
    <w:link w:val="2"/>
    <w:semiHidden/>
    <w:qFormat/>
    <w:uiPriority w:val="99"/>
    <w:rPr>
      <w:sz w:val="18"/>
      <w:szCs w:val="18"/>
    </w:rPr>
  </w:style>
  <w:style w:type="paragraph" w:customStyle="1" w:styleId="15">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439385-8B9B-4C95-BC13-B3967DFB4EA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688</Words>
  <Characters>3922</Characters>
  <Lines>32</Lines>
  <Paragraphs>9</Paragraphs>
  <TotalTime>15</TotalTime>
  <ScaleCrop>false</ScaleCrop>
  <LinksUpToDate>false</LinksUpToDate>
  <CharactersWithSpaces>4601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2017-01-13T03:22:00Z</dcterms:created>
  <dc:creator>guest</dc:creator>
  <cp:lastModifiedBy>Administrator</cp:lastModifiedBy>
  <cp:lastPrinted>2017-11-09T01:12:00Z</cp:lastPrinted>
  <dcterms:modified xsi:type="dcterms:W3CDTF">2023-08-01T02:50:39Z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