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中国农工民主党河北省委员会</w:t>
      </w:r>
    </w:p>
    <w:p>
      <w:pPr>
        <w:ind w:firstLine="880" w:firstLineChars="200"/>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20</w:t>
      </w:r>
      <w:r>
        <w:rPr>
          <w:rFonts w:hint="eastAsia" w:ascii="Times New Roman" w:hAnsi="Times New Roman" w:eastAsia="方正小标宋_GBK" w:cs="Times New Roman"/>
          <w:sz w:val="44"/>
          <w:szCs w:val="44"/>
        </w:rPr>
        <w:t>21</w:t>
      </w:r>
      <w:r>
        <w:rPr>
          <w:rFonts w:ascii="Times New Roman" w:hAnsi="Times New Roman" w:eastAsia="方正小标宋_GBK" w:cs="Times New Roman"/>
          <w:sz w:val="44"/>
          <w:szCs w:val="44"/>
        </w:rPr>
        <w:t>年部门预算信息公开</w:t>
      </w:r>
      <w:r>
        <w:rPr>
          <w:rFonts w:hint="eastAsia" w:ascii="Times New Roman" w:hAnsi="Times New Roman" w:eastAsia="方正小标宋_GBK" w:cs="Times New Roman"/>
          <w:sz w:val="44"/>
          <w:szCs w:val="44"/>
        </w:rPr>
        <w:t>情况说明</w:t>
      </w:r>
    </w:p>
    <w:p>
      <w:pPr>
        <w:ind w:firstLine="880" w:firstLineChars="200"/>
        <w:jc w:val="center"/>
        <w:rPr>
          <w:rFonts w:ascii="Times New Roman" w:hAnsi="Times New Roman" w:eastAsia="方正小标宋_GBK" w:cs="Times New Roman"/>
          <w:sz w:val="44"/>
          <w:szCs w:val="44"/>
        </w:rPr>
      </w:pP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按照</w:t>
      </w:r>
      <w:r>
        <w:rPr>
          <w:rFonts w:hint="eastAsia" w:ascii="Times New Roman" w:hAnsi="Times New Roman" w:eastAsia="方正仿宋_GBK" w:cs="Times New Roman"/>
          <w:sz w:val="32"/>
          <w:szCs w:val="32"/>
        </w:rPr>
        <w:t>《中华人民共和国预算法》、</w:t>
      </w:r>
      <w:r>
        <w:rPr>
          <w:rFonts w:ascii="Times New Roman" w:hAnsi="Times New Roman" w:eastAsia="方正仿宋_GBK" w:cs="Times New Roman"/>
          <w:sz w:val="32"/>
          <w:szCs w:val="32"/>
        </w:rPr>
        <w:t>《地方预决算公开操作规程》和《河北省省级预算公开办法》</w:t>
      </w:r>
      <w:r>
        <w:rPr>
          <w:rFonts w:hint="eastAsia" w:ascii="Times New Roman" w:hAnsi="Times New Roman" w:eastAsia="方正仿宋_GBK" w:cs="Times New Roman"/>
          <w:sz w:val="32"/>
          <w:szCs w:val="32"/>
        </w:rPr>
        <w:t>规定</w:t>
      </w:r>
      <w:r>
        <w:rPr>
          <w:rFonts w:ascii="Times New Roman" w:hAnsi="Times New Roman" w:eastAsia="方正仿宋_GBK" w:cs="Times New Roman"/>
          <w:sz w:val="32"/>
          <w:szCs w:val="32"/>
        </w:rPr>
        <w:t>，现将</w:t>
      </w:r>
      <w:r>
        <w:rPr>
          <w:rFonts w:hint="eastAsia" w:ascii="Times New Roman" w:hAnsi="Times New Roman" w:eastAsia="方正仿宋_GBK" w:cs="Times New Roman"/>
          <w:sz w:val="32"/>
          <w:szCs w:val="32"/>
        </w:rPr>
        <w:t>中国农工民主党河北省委员会</w:t>
      </w:r>
      <w:r>
        <w:rPr>
          <w:rFonts w:ascii="Times New Roman" w:hAnsi="Times New Roman" w:eastAsia="方正仿宋_GBK" w:cs="Times New Roman"/>
          <w:sz w:val="32"/>
          <w:szCs w:val="32"/>
        </w:rPr>
        <w:t>20</w:t>
      </w:r>
      <w:r>
        <w:rPr>
          <w:rFonts w:hint="eastAsia" w:ascii="Times New Roman" w:hAnsi="Times New Roman" w:eastAsia="方正仿宋_GBK" w:cs="Times New Roman"/>
          <w:sz w:val="32"/>
          <w:szCs w:val="32"/>
        </w:rPr>
        <w:t>21</w:t>
      </w:r>
      <w:r>
        <w:rPr>
          <w:rFonts w:ascii="Times New Roman" w:hAnsi="Times New Roman" w:eastAsia="方正仿宋_GBK" w:cs="Times New Roman"/>
          <w:sz w:val="32"/>
          <w:szCs w:val="32"/>
        </w:rPr>
        <w:t>年部门预算公开如下：</w:t>
      </w:r>
    </w:p>
    <w:p>
      <w:pPr>
        <w:ind w:firstLine="640"/>
        <w:rPr>
          <w:rFonts w:ascii="黑体" w:hAnsi="黑体" w:eastAsia="黑体" w:cs="Times New Roman"/>
          <w:sz w:val="32"/>
          <w:szCs w:val="32"/>
        </w:rPr>
      </w:pPr>
      <w:r>
        <w:rPr>
          <w:rFonts w:hint="eastAsia" w:ascii="黑体" w:hAnsi="黑体" w:eastAsia="黑体" w:cs="Times New Roman"/>
          <w:sz w:val="32"/>
          <w:szCs w:val="32"/>
        </w:rPr>
        <w:t>一、部门职责及机构设置情况</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部门</w:t>
      </w:r>
      <w:r>
        <w:rPr>
          <w:rFonts w:ascii="Times New Roman" w:hAnsi="Times New Roman" w:eastAsia="方正仿宋_GBK" w:cs="Times New Roman"/>
          <w:b/>
          <w:sz w:val="32"/>
          <w:szCs w:val="32"/>
        </w:rPr>
        <w:t>职责：</w:t>
      </w:r>
    </w:p>
    <w:p>
      <w:pPr>
        <w:spacing w:line="500" w:lineRule="exact"/>
        <w:ind w:firstLine="560" w:firstLineChars="200"/>
        <w:jc w:val="left"/>
        <w:rPr>
          <w:rFonts w:ascii="Times New Roman" w:hAnsi="宋体"/>
          <w:sz w:val="28"/>
        </w:rPr>
      </w:pPr>
      <w:r>
        <w:rPr>
          <w:rFonts w:hint="eastAsia" w:ascii="Times New Roman" w:eastAsia="方正仿宋_GBK"/>
          <w:sz w:val="28"/>
        </w:rPr>
        <w:t>根据《中国农工民主党河北省委员会职能配置、内设机构和人员编制规定》， 中国农工民主党河北省委员会的主要职责是：</w:t>
      </w:r>
    </w:p>
    <w:p>
      <w:pPr>
        <w:spacing w:line="500" w:lineRule="exact"/>
        <w:ind w:firstLine="560" w:firstLineChars="200"/>
        <w:jc w:val="left"/>
        <w:rPr>
          <w:rFonts w:ascii="Times New Roman" w:eastAsia="方正仿宋_GBK"/>
          <w:sz w:val="28"/>
        </w:rPr>
      </w:pPr>
      <w:r>
        <w:rPr>
          <w:rFonts w:ascii="Times New Roman" w:eastAsia="方正仿宋_GBK"/>
          <w:sz w:val="28"/>
        </w:rPr>
        <w:t>一、协助驻会领导处理省委会机关日常事务；拟定年度工作划和年终总结；负责各种会议和重要活动的准备和安排；负责机关的文秘、档案、信息、机要、保密、安全保卫、计划生育、卫生绿化、收发、财务、房产、车辆调度等管理和后勤保障工作；负负责全省《工作简报》的编发及妇女工作委员会日常工作。</w:t>
      </w:r>
    </w:p>
    <w:p>
      <w:pPr>
        <w:spacing w:line="500" w:lineRule="exact"/>
        <w:ind w:firstLine="560" w:firstLineChars="200"/>
        <w:jc w:val="left"/>
        <w:rPr>
          <w:rFonts w:ascii="Times New Roman" w:eastAsia="方正仿宋_GBK"/>
          <w:sz w:val="28"/>
        </w:rPr>
      </w:pPr>
      <w:r>
        <w:rPr>
          <w:rFonts w:ascii="Times New Roman" w:eastAsia="方正仿宋_GBK"/>
          <w:sz w:val="28"/>
        </w:rPr>
        <w:t>二、指导全省各级组织的建设，制定全省组织发展计划，负责全省党员的党籍管理及有关统计报表工作；负责全省各市委会组建、调整及换届工作；负责全省后备干部队伍的考察、培训、推荐等工作；负责推荐人大代表、政协委员、到政府任职人员和特邀监察员、特邀员检查员等工作；负责处理有关组织建设工作和维护党员合法权益方面的来信来访；负责省委会机关的人事、劳资和老干部工作。</w:t>
      </w:r>
    </w:p>
    <w:p>
      <w:pPr>
        <w:spacing w:line="500" w:lineRule="exact"/>
        <w:ind w:firstLine="560" w:firstLineChars="200"/>
        <w:jc w:val="left"/>
        <w:rPr>
          <w:rFonts w:ascii="Times New Roman" w:eastAsia="方正仿宋_GBK"/>
          <w:sz w:val="28"/>
        </w:rPr>
      </w:pPr>
      <w:r>
        <w:rPr>
          <w:rFonts w:ascii="Times New Roman" w:eastAsia="方正仿宋_GBK"/>
          <w:sz w:val="28"/>
        </w:rPr>
        <w:t>三、制定实施开展全省宣传思想工作的意见；组织指导全省组织和党员开展政治理论和时事政策的学习教育活动；对党员的思想动态和宣传思想工作中的问题进行调查研究并提出意见；负责编印省委机关刊物；联系新闻单位对党内重大活动和典型人物进行宣传；负责开展专题调研、宏观战略咨询、了解社情民意等活动；负责起草省委会在省政协会议上的提案、大会发言及以省委会名义向中共党委、政府及有关部门提出的建议；负责收集、整理全省各级组织和党员在人大、政协提出的有关议案和提案；负责省委会参政议政委员会的日常工作。</w:t>
      </w:r>
    </w:p>
    <w:p>
      <w:pPr>
        <w:spacing w:line="500" w:lineRule="exact"/>
        <w:ind w:firstLine="560" w:firstLineChars="200"/>
        <w:jc w:val="left"/>
        <w:rPr>
          <w:rFonts w:ascii="Times New Roman" w:eastAsia="方正仿宋_GBK"/>
          <w:sz w:val="28"/>
        </w:rPr>
      </w:pPr>
      <w:r>
        <w:rPr>
          <w:rFonts w:ascii="Times New Roman" w:eastAsia="方正仿宋_GBK"/>
          <w:sz w:val="28"/>
        </w:rPr>
        <w:t>四、贯彻落实本党中央和省委会有关咨询联络工作的指导精神；负责指导各市的咨询联络工作；组织党员开展医药卫生、科学技术和文化教育等方面的咨询服务工作；监督、检查所属业务机构的服务方向，为本省经济建设服务;负责组织有关专家开展支边扶贫工作；负责与政府有关对口单位联系工作；负责牵线搭桥、内引外联和“三胞”联谊工作。</w:t>
      </w:r>
    </w:p>
    <w:p>
      <w:pPr>
        <w:autoSpaceDE w:val="0"/>
        <w:autoSpaceDN w:val="0"/>
        <w:adjustRightInd w:val="0"/>
        <w:ind w:firstLine="640" w:firstLineChars="200"/>
        <w:jc w:val="left"/>
        <w:rPr>
          <w:rFonts w:ascii="方正仿宋_GBK" w:hAnsi="Times New Roman" w:eastAsia="方正仿宋_GBK" w:cs="Times New Roman"/>
          <w:b/>
          <w:sz w:val="32"/>
          <w:szCs w:val="32"/>
        </w:rPr>
      </w:pPr>
      <w:r>
        <w:rPr>
          <w:rFonts w:hint="eastAsia" w:ascii="方正仿宋_GBK" w:hAnsi="Times New Roman" w:eastAsia="方正仿宋_GBK" w:cs="Times New Roman"/>
          <w:b/>
          <w:sz w:val="32"/>
          <w:szCs w:val="32"/>
        </w:rPr>
        <w:t>机构设置：</w:t>
      </w:r>
    </w:p>
    <w:p>
      <w:pPr>
        <w:jc w:val="center"/>
        <w:outlineLvl w:val="0"/>
        <w:rPr>
          <w:rFonts w:ascii="Times New Roman" w:hAnsi="Times New Roman" w:eastAsia="方正小标宋_GBK" w:cs="Times New Roman"/>
          <w:sz w:val="32"/>
          <w:szCs w:val="24"/>
        </w:rPr>
      </w:pPr>
      <w:r>
        <w:rPr>
          <w:rFonts w:ascii="Times New Roman" w:hAnsi="Times New Roman" w:eastAsia="方正小标宋_GBK" w:cs="Times New Roman"/>
          <w:sz w:val="32"/>
          <w:szCs w:val="24"/>
        </w:rPr>
        <w:t>部门</w:t>
      </w:r>
      <w:r>
        <w:rPr>
          <w:rFonts w:hint="eastAsia" w:ascii="Times New Roman" w:hAnsi="Times New Roman" w:eastAsia="方正小标宋_GBK" w:cs="Times New Roman"/>
          <w:sz w:val="32"/>
          <w:szCs w:val="24"/>
        </w:rPr>
        <w:t>机构设置情况</w:t>
      </w:r>
    </w:p>
    <w:tbl>
      <w:tblPr>
        <w:tblStyle w:val="12"/>
        <w:tblW w:w="9782" w:type="dxa"/>
        <w:jc w:val="center"/>
        <w:tblInd w:w="-5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359"/>
        <w:gridCol w:w="1134"/>
        <w:gridCol w:w="1276"/>
        <w:gridCol w:w="30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00" w:hRule="atLeast"/>
          <w:tblHeader/>
          <w:jc w:val="center"/>
        </w:trPr>
        <w:tc>
          <w:tcPr>
            <w:tcW w:w="435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1276"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013"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00" w:hRule="atLeast"/>
          <w:tblHeader/>
          <w:jc w:val="center"/>
        </w:trPr>
        <w:tc>
          <w:tcPr>
            <w:tcW w:w="4359" w:type="dxa"/>
            <w:vMerge w:val="continue"/>
            <w:shd w:val="clear" w:color="auto" w:fill="auto"/>
            <w:vAlign w:val="center"/>
          </w:tcPr>
          <w:p>
            <w:pPr>
              <w:spacing w:line="300" w:lineRule="exact"/>
              <w:jc w:val="left"/>
              <w:outlineLvl w:val="0"/>
            </w:pPr>
          </w:p>
        </w:tc>
        <w:tc>
          <w:tcPr>
            <w:tcW w:w="1134" w:type="dxa"/>
            <w:vMerge w:val="continue"/>
            <w:shd w:val="clear" w:color="auto" w:fill="auto"/>
            <w:vAlign w:val="center"/>
          </w:tcPr>
          <w:p>
            <w:pPr>
              <w:spacing w:line="300" w:lineRule="exact"/>
              <w:jc w:val="left"/>
              <w:outlineLvl w:val="0"/>
            </w:pPr>
          </w:p>
        </w:tc>
        <w:tc>
          <w:tcPr>
            <w:tcW w:w="1276" w:type="dxa"/>
            <w:vMerge w:val="continue"/>
            <w:shd w:val="clear" w:color="auto" w:fill="auto"/>
            <w:vAlign w:val="center"/>
          </w:tcPr>
          <w:p>
            <w:pPr>
              <w:spacing w:line="300" w:lineRule="exact"/>
              <w:jc w:val="left"/>
              <w:outlineLvl w:val="0"/>
            </w:pPr>
          </w:p>
        </w:tc>
        <w:tc>
          <w:tcPr>
            <w:tcW w:w="3013" w:type="dxa"/>
            <w:vMerge w:val="continue"/>
            <w:shd w:val="clear" w:color="auto" w:fill="auto"/>
            <w:vAlign w:val="center"/>
          </w:tcPr>
          <w:p>
            <w:pPr>
              <w:spacing w:line="300" w:lineRule="exact"/>
              <w:jc w:val="left"/>
              <w:outlineLvl w:val="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4359" w:type="dxa"/>
            <w:shd w:val="clear" w:color="auto" w:fill="auto"/>
            <w:vAlign w:val="center"/>
          </w:tcPr>
          <w:p>
            <w:pPr>
              <w:spacing w:line="300" w:lineRule="exact"/>
              <w:jc w:val="center"/>
              <w:rPr>
                <w:rFonts w:ascii="方正书宋_GBK" w:eastAsia="方正书宋_GBK"/>
              </w:rPr>
            </w:pPr>
            <w:r>
              <w:rPr>
                <w:rFonts w:hint="eastAsia" w:ascii="Times New Roman" w:hAnsi="Times New Roman" w:eastAsia="方正书宋_GBK" w:cs="Times New Roman"/>
                <w:szCs w:val="24"/>
              </w:rPr>
              <w:t>中国农工民主党河北省委员会</w:t>
            </w:r>
          </w:p>
        </w:tc>
        <w:tc>
          <w:tcPr>
            <w:tcW w:w="1134" w:type="dxa"/>
            <w:shd w:val="clear" w:color="auto" w:fill="auto"/>
            <w:vAlign w:val="center"/>
          </w:tcPr>
          <w:p>
            <w:pPr>
              <w:spacing w:line="300" w:lineRule="exact"/>
              <w:jc w:val="center"/>
              <w:rPr>
                <w:rFonts w:ascii="方正书宋_GBK" w:eastAsia="方正书宋_GBK"/>
              </w:rPr>
            </w:pPr>
            <w:r>
              <w:rPr>
                <w:rFonts w:hint="eastAsia" w:ascii="Times New Roman" w:hAnsi="Times New Roman" w:eastAsia="方正书宋_GBK" w:cs="Times New Roman"/>
                <w:szCs w:val="24"/>
              </w:rPr>
              <w:t>行政机关</w:t>
            </w:r>
          </w:p>
        </w:tc>
        <w:tc>
          <w:tcPr>
            <w:tcW w:w="1276" w:type="dxa"/>
            <w:shd w:val="clear" w:color="auto" w:fill="auto"/>
            <w:vAlign w:val="center"/>
          </w:tcPr>
          <w:p>
            <w:pPr>
              <w:spacing w:line="300" w:lineRule="exact"/>
              <w:jc w:val="center"/>
              <w:rPr>
                <w:rFonts w:ascii="方正书宋_GBK" w:eastAsia="方正书宋_GBK"/>
              </w:rPr>
            </w:pPr>
            <w:r>
              <w:rPr>
                <w:rFonts w:hint="eastAsia" w:ascii="Times New Roman" w:hAnsi="Times New Roman" w:eastAsia="方正书宋_GBK" w:cs="Times New Roman"/>
                <w:szCs w:val="24"/>
              </w:rPr>
              <w:t>正厅级</w:t>
            </w:r>
          </w:p>
        </w:tc>
        <w:tc>
          <w:tcPr>
            <w:tcW w:w="3013" w:type="dxa"/>
            <w:shd w:val="clear" w:color="auto" w:fill="auto"/>
            <w:vAlign w:val="center"/>
          </w:tcPr>
          <w:p>
            <w:pPr>
              <w:spacing w:line="300" w:lineRule="exact"/>
              <w:jc w:val="center"/>
              <w:rPr>
                <w:rFonts w:ascii="方正书宋_GBK" w:eastAsia="方正书宋_GBK"/>
              </w:rPr>
            </w:pPr>
            <w:r>
              <w:rPr>
                <w:rFonts w:hint="eastAsia" w:ascii="Times New Roman" w:hAnsi="Times New Roman" w:eastAsia="方正书宋_GBK" w:cs="Times New Roman"/>
                <w:szCs w:val="24"/>
              </w:rPr>
              <w:t>财政拨款</w:t>
            </w:r>
          </w:p>
        </w:tc>
      </w:tr>
    </w:tbl>
    <w:p>
      <w:pPr>
        <w:ind w:firstLine="640" w:firstLineChars="200"/>
        <w:rPr>
          <w:rFonts w:ascii="黑体" w:hAnsi="黑体" w:eastAsia="黑体" w:cs="Times New Roman"/>
          <w:sz w:val="32"/>
          <w:szCs w:val="32"/>
        </w:rPr>
      </w:pPr>
      <w:r>
        <w:rPr>
          <w:rFonts w:hint="eastAsia" w:ascii="黑体" w:hAnsi="黑体" w:eastAsia="黑体" w:cs="Times New Roman"/>
          <w:sz w:val="32"/>
          <w:szCs w:val="32"/>
        </w:rPr>
        <w:t>二、部门预算安排的总体情况</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按照预算管理有关规定，目前我省部门预算的编制实行综合预算</w:t>
      </w:r>
      <w:r>
        <w:rPr>
          <w:rFonts w:hint="eastAsia" w:ascii="Times New Roman" w:hAnsi="Times New Roman" w:eastAsia="方正仿宋_GBK" w:cs="Times New Roman"/>
          <w:sz w:val="32"/>
          <w:szCs w:val="32"/>
        </w:rPr>
        <w:t>管理</w:t>
      </w:r>
      <w:r>
        <w:rPr>
          <w:rFonts w:ascii="Times New Roman" w:hAnsi="Times New Roman" w:eastAsia="方正仿宋_GBK" w:cs="Times New Roman"/>
          <w:sz w:val="32"/>
          <w:szCs w:val="32"/>
        </w:rPr>
        <w:t>，即全部收入和支出都反映</w:t>
      </w:r>
      <w:r>
        <w:rPr>
          <w:rFonts w:hint="eastAsia" w:ascii="Times New Roman" w:hAnsi="Times New Roman" w:eastAsia="方正仿宋_GBK" w:cs="Times New Roman"/>
          <w:sz w:val="32"/>
          <w:szCs w:val="32"/>
        </w:rPr>
        <w:t>在</w:t>
      </w:r>
      <w:r>
        <w:rPr>
          <w:rFonts w:ascii="Times New Roman" w:hAnsi="Times New Roman" w:eastAsia="方正仿宋_GBK" w:cs="Times New Roman"/>
          <w:sz w:val="32"/>
          <w:szCs w:val="32"/>
        </w:rPr>
        <w:t>预算中。</w:t>
      </w:r>
      <w:r>
        <w:rPr>
          <w:rFonts w:hint="eastAsia" w:ascii="Times New Roman" w:hAnsi="Times New Roman" w:eastAsia="方正仿宋_GBK" w:cs="Times New Roman"/>
          <w:sz w:val="32"/>
          <w:szCs w:val="32"/>
        </w:rPr>
        <w:t>中国农工民主党河北省委员会</w:t>
      </w:r>
      <w:r>
        <w:rPr>
          <w:rFonts w:ascii="Times New Roman" w:hAnsi="Times New Roman" w:eastAsia="方正仿宋_GBK" w:cs="Times New Roman"/>
          <w:sz w:val="32"/>
          <w:szCs w:val="32"/>
        </w:rPr>
        <w:t>的收支包含在部门预算中。</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1、收入说明</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反映本部门当年全部收入。20</w:t>
      </w:r>
      <w:r>
        <w:rPr>
          <w:rFonts w:hint="eastAsia" w:ascii="Times New Roman" w:hAnsi="Times New Roman" w:eastAsia="方正仿宋_GBK" w:cs="Times New Roman"/>
          <w:sz w:val="32"/>
          <w:szCs w:val="32"/>
        </w:rPr>
        <w:t>21</w:t>
      </w:r>
      <w:r>
        <w:rPr>
          <w:rFonts w:ascii="Times New Roman" w:hAnsi="Times New Roman" w:eastAsia="方正仿宋_GBK" w:cs="Times New Roman"/>
          <w:sz w:val="32"/>
          <w:szCs w:val="32"/>
        </w:rPr>
        <w:t>年预算收入</w:t>
      </w:r>
      <w:r>
        <w:rPr>
          <w:rFonts w:hint="eastAsia" w:ascii="Times New Roman" w:hAnsi="Times New Roman" w:eastAsia="方正仿宋_GBK" w:cs="Times New Roman"/>
          <w:sz w:val="32"/>
          <w:szCs w:val="32"/>
        </w:rPr>
        <w:t>469.97</w:t>
      </w:r>
      <w:r>
        <w:rPr>
          <w:rFonts w:ascii="Times New Roman" w:hAnsi="Times New Roman" w:eastAsia="方正仿宋_GBK" w:cs="Times New Roman"/>
          <w:sz w:val="32"/>
          <w:szCs w:val="32"/>
        </w:rPr>
        <w:t>万元，其中：一般公共预算收入</w:t>
      </w:r>
      <w:r>
        <w:rPr>
          <w:rFonts w:hint="eastAsia" w:ascii="Times New Roman" w:hAnsi="Times New Roman" w:eastAsia="方正仿宋_GBK" w:cs="Times New Roman"/>
          <w:sz w:val="32"/>
          <w:szCs w:val="32"/>
        </w:rPr>
        <w:t>469.97</w:t>
      </w:r>
      <w:r>
        <w:rPr>
          <w:rFonts w:ascii="Times New Roman" w:hAnsi="Times New Roman" w:eastAsia="方正仿宋_GBK" w:cs="Times New Roman"/>
          <w:sz w:val="32"/>
          <w:szCs w:val="32"/>
        </w:rPr>
        <w:t>万元，</w:t>
      </w:r>
      <w:r>
        <w:rPr>
          <w:rFonts w:hint="eastAsia" w:ascii="Times New Roman" w:hAnsi="Times New Roman" w:eastAsia="方正仿宋_GBK" w:cs="Times New Roman"/>
          <w:sz w:val="32"/>
          <w:szCs w:val="32"/>
        </w:rPr>
        <w:t>基金预算</w:t>
      </w:r>
      <w:r>
        <w:rPr>
          <w:rFonts w:ascii="Times New Roman" w:hAnsi="Times New Roman" w:eastAsia="方正仿宋_GBK" w:cs="Times New Roman"/>
          <w:sz w:val="32"/>
          <w:szCs w:val="32"/>
        </w:rPr>
        <w:t>收入</w:t>
      </w:r>
      <w:r>
        <w:rPr>
          <w:rFonts w:hint="eastAsia" w:ascii="Times New Roman" w:hAnsi="Times New Roman" w:eastAsia="方正仿宋_GBK" w:cs="Times New Roman"/>
          <w:sz w:val="32"/>
          <w:szCs w:val="32"/>
        </w:rPr>
        <w:t>0</w:t>
      </w:r>
      <w:r>
        <w:rPr>
          <w:rFonts w:ascii="Times New Roman" w:hAnsi="Times New Roman" w:eastAsia="方正仿宋_GBK" w:cs="Times New Roman"/>
          <w:sz w:val="32"/>
          <w:szCs w:val="32"/>
        </w:rPr>
        <w:t>万元，</w:t>
      </w:r>
      <w:r>
        <w:rPr>
          <w:rFonts w:hint="eastAsia" w:ascii="Times New Roman" w:hAnsi="Times New Roman" w:eastAsia="方正仿宋_GBK" w:cs="Times New Roman"/>
          <w:sz w:val="32"/>
          <w:szCs w:val="32"/>
        </w:rPr>
        <w:t>财政专户核拨收入0</w:t>
      </w:r>
      <w:r>
        <w:rPr>
          <w:rFonts w:ascii="Times New Roman" w:hAnsi="Times New Roman" w:eastAsia="方正仿宋_GBK" w:cs="Times New Roman"/>
          <w:sz w:val="32"/>
          <w:szCs w:val="32"/>
        </w:rPr>
        <w:t>万元</w:t>
      </w:r>
      <w:r>
        <w:rPr>
          <w:rFonts w:hint="eastAsia" w:ascii="Times New Roman" w:hAnsi="Times New Roman" w:eastAsia="方正仿宋_GBK" w:cs="Times New Roman"/>
          <w:sz w:val="32"/>
          <w:szCs w:val="32"/>
        </w:rPr>
        <w:t>，其他来源收入（单位资金）0万元。</w:t>
      </w:r>
    </w:p>
    <w:p>
      <w:p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2、支出说明</w:t>
      </w:r>
    </w:p>
    <w:p>
      <w:p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收支预算总表支出栏、基本支出表、项目支出表按经济分类和支出功能分类科目编制，反映</w:t>
      </w:r>
      <w:r>
        <w:rPr>
          <w:rFonts w:hint="eastAsia" w:ascii="Times New Roman" w:hAnsi="Times New Roman" w:eastAsia="方正仿宋_GBK" w:cs="Times New Roman"/>
          <w:sz w:val="32"/>
          <w:szCs w:val="32"/>
        </w:rPr>
        <w:t>中国农工民主党河北省委员会</w:t>
      </w:r>
      <w:r>
        <w:rPr>
          <w:rFonts w:ascii="Times New Roman" w:hAnsi="Times New Roman" w:eastAsia="方正仿宋_GBK" w:cs="Times New Roman"/>
          <w:sz w:val="32"/>
          <w:szCs w:val="32"/>
        </w:rPr>
        <w:t>年度部门预算中支出预算的总体情况。20</w:t>
      </w:r>
      <w:r>
        <w:rPr>
          <w:rFonts w:hint="eastAsia" w:ascii="Times New Roman" w:hAnsi="Times New Roman" w:eastAsia="方正仿宋_GBK" w:cs="Times New Roman"/>
          <w:sz w:val="32"/>
          <w:szCs w:val="32"/>
        </w:rPr>
        <w:t>21</w:t>
      </w:r>
      <w:r>
        <w:rPr>
          <w:rFonts w:ascii="Times New Roman" w:hAnsi="Times New Roman" w:eastAsia="方正仿宋_GBK" w:cs="Times New Roman"/>
          <w:sz w:val="32"/>
          <w:szCs w:val="32"/>
        </w:rPr>
        <w:t>年支出预算</w:t>
      </w:r>
      <w:r>
        <w:rPr>
          <w:rFonts w:hint="eastAsia" w:ascii="Times New Roman" w:hAnsi="Times New Roman" w:eastAsia="方正仿宋_GBK" w:cs="Times New Roman"/>
          <w:sz w:val="32"/>
          <w:szCs w:val="32"/>
        </w:rPr>
        <w:t>469.97</w:t>
      </w:r>
      <w:r>
        <w:rPr>
          <w:rFonts w:ascii="Times New Roman" w:hAnsi="Times New Roman" w:eastAsia="方正仿宋_GBK" w:cs="Times New Roman"/>
          <w:sz w:val="32"/>
          <w:szCs w:val="32"/>
        </w:rPr>
        <w:t>万元，其中基本支出</w:t>
      </w:r>
      <w:r>
        <w:rPr>
          <w:rFonts w:hint="eastAsia" w:ascii="Times New Roman" w:hAnsi="Times New Roman" w:eastAsia="方正仿宋_GBK" w:cs="Times New Roman"/>
          <w:sz w:val="32"/>
          <w:szCs w:val="32"/>
        </w:rPr>
        <w:t>400.42</w:t>
      </w:r>
      <w:r>
        <w:rPr>
          <w:rFonts w:ascii="Times New Roman" w:hAnsi="Times New Roman" w:eastAsia="方正仿宋_GBK" w:cs="Times New Roman"/>
          <w:sz w:val="32"/>
          <w:szCs w:val="32"/>
        </w:rPr>
        <w:t>万元，包括人员经费</w:t>
      </w:r>
      <w:r>
        <w:rPr>
          <w:rFonts w:hint="eastAsia" w:ascii="Times New Roman" w:hAnsi="Times New Roman" w:eastAsia="方正仿宋_GBK" w:cs="Times New Roman"/>
          <w:sz w:val="32"/>
          <w:szCs w:val="32"/>
        </w:rPr>
        <w:t>322.13万元</w:t>
      </w:r>
      <w:r>
        <w:rPr>
          <w:rFonts w:ascii="Times New Roman" w:hAnsi="Times New Roman" w:eastAsia="方正仿宋_GBK" w:cs="Times New Roman"/>
          <w:sz w:val="32"/>
          <w:szCs w:val="32"/>
        </w:rPr>
        <w:t>和日常公用经费</w:t>
      </w:r>
      <w:r>
        <w:rPr>
          <w:rFonts w:hint="eastAsia" w:ascii="Times New Roman" w:hAnsi="Times New Roman" w:eastAsia="方正仿宋_GBK" w:cs="Times New Roman"/>
          <w:sz w:val="32"/>
          <w:szCs w:val="32"/>
        </w:rPr>
        <w:t>78.29万元</w:t>
      </w:r>
      <w:r>
        <w:rPr>
          <w:rFonts w:ascii="Times New Roman" w:hAnsi="Times New Roman" w:eastAsia="方正仿宋_GBK" w:cs="Times New Roman"/>
          <w:sz w:val="32"/>
          <w:szCs w:val="32"/>
        </w:rPr>
        <w:t>；</w:t>
      </w:r>
      <w:r>
        <w:rPr>
          <w:rFonts w:ascii="Times New Roman" w:hAnsi="Times New Roman" w:eastAsia="方正仿宋_GBK" w:cs="Times New Roman"/>
          <w:sz w:val="32"/>
          <w:szCs w:val="32"/>
          <w:highlight w:val="yellow"/>
        </w:rPr>
        <w:t>项目支出</w:t>
      </w:r>
      <w:r>
        <w:rPr>
          <w:rFonts w:hint="eastAsia" w:ascii="Times New Roman" w:hAnsi="Times New Roman" w:eastAsia="方正仿宋_GBK" w:cs="Times New Roman"/>
          <w:sz w:val="32"/>
          <w:szCs w:val="32"/>
          <w:highlight w:val="yellow"/>
        </w:rPr>
        <w:t>69.55</w:t>
      </w:r>
      <w:r>
        <w:rPr>
          <w:rFonts w:ascii="Times New Roman" w:hAnsi="Times New Roman" w:eastAsia="方正仿宋_GBK" w:cs="Times New Roman"/>
          <w:sz w:val="32"/>
          <w:szCs w:val="32"/>
          <w:highlight w:val="yellow"/>
        </w:rPr>
        <w:t>万元</w:t>
      </w:r>
      <w:r>
        <w:rPr>
          <w:rFonts w:hint="eastAsia" w:ascii="Times New Roman" w:hAnsi="Times New Roman" w:eastAsia="方正仿宋_GBK" w:cs="Times New Roman"/>
          <w:sz w:val="32"/>
          <w:szCs w:val="32"/>
          <w:highlight w:val="yellow"/>
        </w:rPr>
        <w:t>，</w:t>
      </w:r>
      <w:r>
        <w:rPr>
          <w:rFonts w:ascii="Times New Roman" w:hAnsi="Times New Roman" w:eastAsia="方正仿宋_GBK" w:cs="Times New Roman"/>
          <w:sz w:val="32"/>
          <w:szCs w:val="32"/>
          <w:highlight w:val="yellow"/>
        </w:rPr>
        <w:t>主要为</w:t>
      </w:r>
      <w:r>
        <w:rPr>
          <w:rFonts w:hint="eastAsia" w:ascii="Times New Roman" w:hAnsi="Times New Roman" w:eastAsia="方正仿宋_GBK" w:cs="Times New Roman"/>
          <w:sz w:val="32"/>
          <w:szCs w:val="32"/>
          <w:highlight w:val="yellow"/>
        </w:rPr>
        <w:t>参政议政及业务活动经费、民主党派专项经费(中央提前下达资金)和退休省级主委、不驻会主副委和党员活动费。</w:t>
      </w:r>
    </w:p>
    <w:p>
      <w:pPr>
        <w:ind w:firstLine="640"/>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sz w:val="32"/>
          <w:szCs w:val="32"/>
        </w:rPr>
        <w:t>3、比上年增减情况</w:t>
      </w:r>
    </w:p>
    <w:p>
      <w:pPr>
        <w:ind w:firstLine="640"/>
        <w:rPr>
          <w:rFonts w:ascii="仿宋_GB2312" w:hAnsi="黑体" w:eastAsia="仿宋_GB2312" w:cs="Times New Roman"/>
          <w:sz w:val="32"/>
          <w:szCs w:val="32"/>
        </w:rPr>
      </w:pPr>
      <w:r>
        <w:rPr>
          <w:rFonts w:ascii="Times New Roman" w:hAnsi="Times New Roman" w:eastAsia="方正仿宋_GBK" w:cs="Times New Roman"/>
          <w:sz w:val="32"/>
          <w:szCs w:val="32"/>
        </w:rPr>
        <w:t>2021年预算收支安排</w:t>
      </w:r>
      <w:r>
        <w:rPr>
          <w:rFonts w:hint="eastAsia" w:ascii="Times New Roman" w:hAnsi="Times New Roman" w:eastAsia="方正仿宋_GBK" w:cs="Times New Roman"/>
          <w:sz w:val="32"/>
          <w:szCs w:val="32"/>
        </w:rPr>
        <w:t>469.97</w:t>
      </w:r>
      <w:r>
        <w:rPr>
          <w:rFonts w:ascii="Times New Roman" w:hAnsi="Times New Roman" w:eastAsia="方正仿宋_GBK" w:cs="Times New Roman"/>
          <w:sz w:val="32"/>
          <w:szCs w:val="32"/>
        </w:rPr>
        <w:t>万元，较2020年预算</w:t>
      </w:r>
      <w:r>
        <w:rPr>
          <w:rFonts w:hint="eastAsia" w:ascii="Times New Roman" w:hAnsi="Times New Roman" w:eastAsia="方正仿宋_GBK" w:cs="Times New Roman"/>
          <w:sz w:val="32"/>
          <w:szCs w:val="32"/>
        </w:rPr>
        <w:t>增加16.76</w:t>
      </w:r>
      <w:r>
        <w:rPr>
          <w:rFonts w:ascii="Times New Roman" w:hAnsi="Times New Roman" w:eastAsia="方正仿宋_GBK" w:cs="Times New Roman"/>
          <w:sz w:val="32"/>
          <w:szCs w:val="32"/>
        </w:rPr>
        <w:t>万元，其中：基本支出</w:t>
      </w:r>
      <w:r>
        <w:rPr>
          <w:rFonts w:hint="eastAsia" w:ascii="Times New Roman" w:hAnsi="Times New Roman" w:eastAsia="方正仿宋_GBK" w:cs="Times New Roman"/>
          <w:sz w:val="32"/>
          <w:szCs w:val="32"/>
        </w:rPr>
        <w:t>增加21.49</w:t>
      </w:r>
      <w:r>
        <w:rPr>
          <w:rFonts w:ascii="Times New Roman" w:hAnsi="Times New Roman" w:eastAsia="方正仿宋_GBK" w:cs="Times New Roman"/>
          <w:sz w:val="32"/>
          <w:szCs w:val="32"/>
        </w:rPr>
        <w:t>万元，主要为</w:t>
      </w:r>
      <w:r>
        <w:rPr>
          <w:rFonts w:hint="eastAsia" w:ascii="Times New Roman" w:hAnsi="Times New Roman" w:eastAsia="方正仿宋_GBK" w:cs="Times New Roman"/>
          <w:sz w:val="32"/>
          <w:szCs w:val="32"/>
        </w:rPr>
        <w:t>增加</w:t>
      </w:r>
      <w:r>
        <w:rPr>
          <w:rFonts w:ascii="Times New Roman" w:hAnsi="Times New Roman" w:eastAsia="方正仿宋_GBK" w:cs="Times New Roman"/>
          <w:sz w:val="32"/>
          <w:szCs w:val="32"/>
        </w:rPr>
        <w:t>人员经费支出；项目支出</w:t>
      </w:r>
      <w:r>
        <w:rPr>
          <w:rFonts w:hint="eastAsia" w:ascii="Times New Roman" w:hAnsi="Times New Roman" w:eastAsia="方正仿宋_GBK" w:cs="Times New Roman"/>
          <w:sz w:val="32"/>
          <w:szCs w:val="32"/>
        </w:rPr>
        <w:t>增加减少4.73</w:t>
      </w:r>
      <w:r>
        <w:rPr>
          <w:rFonts w:ascii="Times New Roman" w:hAnsi="Times New Roman" w:eastAsia="方正仿宋_GBK" w:cs="Times New Roman"/>
          <w:sz w:val="32"/>
          <w:szCs w:val="32"/>
        </w:rPr>
        <w:t>万元，主要为</w:t>
      </w:r>
      <w:r>
        <w:rPr>
          <w:rFonts w:hint="eastAsia" w:ascii="Times New Roman" w:hAnsi="Times New Roman" w:eastAsia="方正仿宋_GBK" w:cs="Times New Roman"/>
          <w:sz w:val="32"/>
          <w:szCs w:val="32"/>
        </w:rPr>
        <w:t>减少参政议政调研经费</w:t>
      </w:r>
      <w:r>
        <w:rPr>
          <w:rFonts w:ascii="Times New Roman" w:hAnsi="Times New Roman" w:eastAsia="方正仿宋_GBK" w:cs="Times New Roman"/>
          <w:sz w:val="32"/>
          <w:szCs w:val="32"/>
        </w:rPr>
        <w:t>。</w:t>
      </w: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三、机关运行经费安排情况</w:t>
      </w:r>
    </w:p>
    <w:p>
      <w:pPr>
        <w:autoSpaceDE w:val="0"/>
        <w:autoSpaceDN w:val="0"/>
        <w:adjustRightInd w:val="0"/>
        <w:ind w:left="198"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2021年，我厅机关运行经费共计安排78.29万元，主要用于日常维修、办公用房水电费、办公用房取暖费、办公用房物业管理费等日常运行支出。</w:t>
      </w: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四、财政拨款</w:t>
      </w:r>
      <w:r>
        <w:rPr>
          <w:rFonts w:ascii="黑体" w:hAnsi="黑体" w:eastAsia="黑体" w:cs="Times New Roman"/>
          <w:sz w:val="32"/>
          <w:szCs w:val="32"/>
        </w:rPr>
        <w:t>“</w:t>
      </w:r>
      <w:r>
        <w:rPr>
          <w:rFonts w:hint="eastAsia" w:ascii="黑体" w:hAnsi="黑体" w:eastAsia="黑体" w:cs="Times New Roman"/>
          <w:sz w:val="32"/>
          <w:szCs w:val="32"/>
        </w:rPr>
        <w:t>三公</w:t>
      </w:r>
      <w:r>
        <w:rPr>
          <w:rFonts w:ascii="黑体" w:hAnsi="黑体" w:eastAsia="黑体" w:cs="Times New Roman"/>
          <w:sz w:val="32"/>
          <w:szCs w:val="32"/>
        </w:rPr>
        <w:t>”</w:t>
      </w:r>
      <w:r>
        <w:rPr>
          <w:rFonts w:hint="eastAsia" w:ascii="黑体" w:hAnsi="黑体" w:eastAsia="黑体" w:cs="Times New Roman"/>
          <w:sz w:val="32"/>
          <w:szCs w:val="32"/>
        </w:rPr>
        <w:t>经费预算情况及增减变化原因</w:t>
      </w:r>
    </w:p>
    <w:p>
      <w:pPr>
        <w:autoSpaceDE w:val="0"/>
        <w:autoSpaceDN w:val="0"/>
        <w:adjustRightInd w:val="0"/>
        <w:ind w:left="198"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2021年，我厅财政拨款“三公”经费预算安排</w:t>
      </w:r>
      <w:r>
        <w:rPr>
          <w:rFonts w:hint="eastAsia" w:ascii="Times New Roman" w:hAnsi="Times New Roman" w:eastAsia="方正仿宋_GBK" w:cs="Times New Roman"/>
          <w:sz w:val="32"/>
          <w:szCs w:val="32"/>
        </w:rPr>
        <w:t>15.32</w:t>
      </w:r>
      <w:r>
        <w:rPr>
          <w:rFonts w:ascii="Times New Roman" w:hAnsi="Times New Roman" w:eastAsia="方正仿宋_GBK" w:cs="Times New Roman"/>
          <w:sz w:val="32"/>
          <w:szCs w:val="32"/>
        </w:rPr>
        <w:t>万元，其中因公出国（境）费</w:t>
      </w:r>
      <w:r>
        <w:rPr>
          <w:rFonts w:hint="eastAsia" w:ascii="Times New Roman" w:hAnsi="Times New Roman" w:eastAsia="方正仿宋_GBK" w:cs="Times New Roman"/>
          <w:sz w:val="32"/>
          <w:szCs w:val="32"/>
        </w:rPr>
        <w:t>7.5</w:t>
      </w:r>
      <w:r>
        <w:rPr>
          <w:rFonts w:ascii="Times New Roman" w:hAnsi="Times New Roman" w:eastAsia="方正仿宋_GBK" w:cs="Times New Roman"/>
          <w:sz w:val="32"/>
          <w:szCs w:val="32"/>
        </w:rPr>
        <w:t>万元；公务用车购置及运维费</w:t>
      </w:r>
      <w:r>
        <w:rPr>
          <w:rFonts w:hint="eastAsia" w:ascii="Times New Roman" w:hAnsi="Times New Roman" w:eastAsia="方正仿宋_GBK" w:cs="Times New Roman"/>
          <w:sz w:val="32"/>
          <w:szCs w:val="32"/>
        </w:rPr>
        <w:t>6.12</w:t>
      </w:r>
      <w:r>
        <w:rPr>
          <w:rFonts w:ascii="Times New Roman" w:hAnsi="Times New Roman" w:eastAsia="方正仿宋_GBK" w:cs="Times New Roman"/>
          <w:sz w:val="32"/>
          <w:szCs w:val="32"/>
        </w:rPr>
        <w:t>万元（其中：公务用车购置费为</w:t>
      </w:r>
      <w:r>
        <w:rPr>
          <w:rFonts w:hint="eastAsia" w:ascii="Times New Roman" w:hAnsi="Times New Roman" w:eastAsia="方正仿宋_GBK" w:cs="Times New Roman"/>
          <w:sz w:val="32"/>
          <w:szCs w:val="32"/>
        </w:rPr>
        <w:t>0万元</w:t>
      </w:r>
      <w:r>
        <w:rPr>
          <w:rFonts w:ascii="Times New Roman" w:hAnsi="Times New Roman" w:eastAsia="方正仿宋_GBK" w:cs="Times New Roman"/>
          <w:sz w:val="32"/>
          <w:szCs w:val="32"/>
        </w:rPr>
        <w:t>，公务用车运</w:t>
      </w:r>
      <w:r>
        <w:rPr>
          <w:rFonts w:hint="eastAsia" w:ascii="Times New Roman" w:hAnsi="Times New Roman" w:eastAsia="方正仿宋_GBK" w:cs="Times New Roman"/>
          <w:sz w:val="32"/>
          <w:szCs w:val="32"/>
        </w:rPr>
        <w:t>维</w:t>
      </w:r>
      <w:r>
        <w:rPr>
          <w:rFonts w:ascii="Times New Roman" w:hAnsi="Times New Roman" w:eastAsia="方正仿宋_GBK" w:cs="Times New Roman"/>
          <w:sz w:val="32"/>
          <w:szCs w:val="32"/>
        </w:rPr>
        <w:t>费</w:t>
      </w:r>
      <w:r>
        <w:rPr>
          <w:rFonts w:hint="eastAsia" w:ascii="Times New Roman" w:hAnsi="Times New Roman" w:eastAsia="方正仿宋_GBK" w:cs="Times New Roman"/>
          <w:sz w:val="32"/>
          <w:szCs w:val="32"/>
        </w:rPr>
        <w:t>6.12</w:t>
      </w:r>
      <w:r>
        <w:rPr>
          <w:rFonts w:ascii="Times New Roman" w:hAnsi="Times New Roman" w:eastAsia="方正仿宋_GBK" w:cs="Times New Roman"/>
          <w:sz w:val="32"/>
          <w:szCs w:val="32"/>
        </w:rPr>
        <w:t>万元)；公务接待费</w:t>
      </w:r>
      <w:r>
        <w:rPr>
          <w:rFonts w:hint="eastAsia" w:ascii="Times New Roman" w:hAnsi="Times New Roman" w:eastAsia="方正仿宋_GBK" w:cs="Times New Roman"/>
          <w:sz w:val="32"/>
          <w:szCs w:val="32"/>
        </w:rPr>
        <w:t>1.7</w:t>
      </w:r>
      <w:r>
        <w:rPr>
          <w:rFonts w:ascii="Times New Roman" w:hAnsi="Times New Roman" w:eastAsia="方正仿宋_GBK" w:cs="Times New Roman"/>
          <w:sz w:val="32"/>
          <w:szCs w:val="32"/>
        </w:rPr>
        <w:t>万元。与2020年</w:t>
      </w:r>
      <w:r>
        <w:rPr>
          <w:rFonts w:hint="eastAsia" w:ascii="Times New Roman" w:hAnsi="Times New Roman" w:eastAsia="方正仿宋_GBK" w:cs="Times New Roman"/>
          <w:sz w:val="32"/>
          <w:szCs w:val="32"/>
        </w:rPr>
        <w:t>相比持平</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无增减变化</w:t>
      </w:r>
      <w:r>
        <w:rPr>
          <w:rFonts w:ascii="Times New Roman" w:hAnsi="Times New Roman" w:eastAsia="方正仿宋_GBK" w:cs="Times New Roman"/>
          <w:sz w:val="32"/>
          <w:szCs w:val="32"/>
        </w:rPr>
        <w:t>。</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五、预算绩效信息</w:t>
      </w:r>
    </w:p>
    <w:p>
      <w:pPr>
        <w:ind w:firstLine="640" w:firstLineChars="200"/>
        <w:jc w:val="left"/>
        <w:rPr>
          <w:rFonts w:ascii="Times New Roman" w:hAnsi="Times New Roman" w:eastAsia="方正仿宋_GBK" w:cs="Times New Roman"/>
          <w:b/>
          <w:sz w:val="32"/>
          <w:szCs w:val="32"/>
        </w:rPr>
      </w:pPr>
      <w:bookmarkStart w:id="0" w:name="_Toc471398463"/>
      <w:r>
        <w:rPr>
          <w:rFonts w:hint="eastAsia" w:ascii="Times New Roman" w:hAnsi="Times New Roman" w:eastAsia="方正仿宋_GBK" w:cs="Times New Roman"/>
          <w:b/>
          <w:sz w:val="32"/>
          <w:szCs w:val="32"/>
        </w:rPr>
        <w:t>第一部分 部门整体</w:t>
      </w:r>
      <w:r>
        <w:rPr>
          <w:rFonts w:ascii="Times New Roman" w:hAnsi="Times New Roman" w:eastAsia="方正仿宋_GBK" w:cs="Times New Roman"/>
          <w:b/>
          <w:sz w:val="32"/>
          <w:szCs w:val="32"/>
        </w:rPr>
        <w:t>绩效目标</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（一）总体绩效目标</w:t>
      </w:r>
    </w:p>
    <w:p>
      <w:pP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以习近平新时代中国特色社会主义思想为指导，深入学习中共十九大、十九届历次全会和中共省委九届历次全会精神，把学习贯彻全会精神和深入开展“不忘合作初心，继续携手前进”主题教育活动结合起来，和推进各项工作结合起来，增强“四个意识”、坚定“四个自信”、做到“两个维护”。团结带领全省各级农工党组织和广大党员，紧紧围绕中共中央和中共河北省委的决策部署，坚持正确的政治方向，深入开展思想建设。积极履行参政党职能，进一步做好参政议政工作。发挥自身优势，广泛开展社会服务工作。贯彻落实“人才强党战略”，全面加强组织建设。为加快建设新时代经济强省、美丽河北做出应有的贡献。       </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（二）分项绩效目标</w:t>
      </w:r>
    </w:p>
    <w:p>
      <w:pP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1、参政议政</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绩效目标：</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增强我省农工党组织凝聚力和社会影响力，提升我省农工党党员参政议政水平，助力我省经济又快又好发展；</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组织开展参政议政调研，向省政协提交大会发言和集体提案，反映社情民意，与省政府对口单位紧密联系；</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组织好农工党党员开展医疗卫生、科学技术和文化教育等方面的咨询服务，开展牵线搭桥、内引外联和“三胞”联谊和扶贫支边工作。</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绩效指标：</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开展参政议政调研活动次数不少于4次；</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举办参政议政专题座谈会次数不少于4次；开展社会服务活动次数不少于4次；</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向农工党中央、省委、省政协提交调研报告、社情民意信息采用率不低于60%；</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确保开展各类活动支出成本在项目预算内；</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各类报告、大会发言、信息稿件按工作计划完成比例不低于60%；</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调研报告、社情民意信息得到有关部门、上级领导等反馈率不低于50%；调研报告、社情民意信息社会反馈积极评价率不低于80%；特约党员、专家参加相关活动满意度不低于90%；</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2、组织建设与综合事务管理</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绩效目标：</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通过举办业务培训及实地调研学习，建设参政议政队伍，促进参政议政工作制度化、规范化和程序化，调动基层组织和广大党员的积极性，增强组织凝聚力；</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通过组织学习及印发内刊，发挥宣传教育阵地作用，增强广大农工党党员对中国特色社会主义的道路自信、理论自信、制度自信。</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绩效指标：</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出版《农工冀讯》及《大事记》出版印刷发行期数不少于16期；</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举办各类履职能力建设培训活动次数不少于4次；</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开展培训、组织党员活动按年度工作计划比例不低于90%；</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确保开展各类活动支出成本在项目预算内；</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报送农工党中央、省委及各级媒体宣传稿件刊登率不低于50%；</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通过组织培训学习活动广大党员积极参政议政、建言献策的比例不低于75%；</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参加各类活动的党员对活动安排满意率不低于90%。</w:t>
      </w:r>
    </w:p>
    <w:p>
      <w:pPr>
        <w:numPr>
          <w:ilvl w:val="0"/>
          <w:numId w:val="1"/>
        </w:numP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工作保障措施</w:t>
      </w:r>
    </w:p>
    <w:p>
      <w:pPr>
        <w:ind w:left="641"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加强组织领导。加强对预算绩效管理的组织领导，切实转变思想观念，牢固树立绩效意识，为全面实施预算绩效管理提供组织保障。各资金使用管理主体应起到良好的带头作用，认真学习全过程绩效管理有关政策、法规。定期召开绩效管理理论知识交流座谈会，讨论、总结绩效管理工作在实施中的经验，使管理队伍对绩效管理工作有更加清晰的理解与认识，并做好宣传工作。全面开展业务培训，使干部职工牢固树立绩效理念，熟悉绩效管理流程，提高本部门职工业务素质，提升绩效管理能力；强化预算绩效管理意识，促进预算绩效管理水平进一步提升。</w:t>
      </w:r>
    </w:p>
    <w:p>
      <w:pPr>
        <w:ind w:left="641"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完善制度建设，加强支出管理。依据《中共中央国务院关于全面实施预算绩效管理的意见》、《中共河北省委河北省人民政府关于全面实施预算绩效管理的实施意见》，建立单位预算绩效管理制度，制定单位整体、项目绩效工作规程，进一步完善单位的专项资金使用管理制度，为全年预算绩效目标的实现奠定制度基础。通过优化支出结构、编细编实预算、尽快启动项目、及时支付资金等多种措施，确保支出进度达标。严守中央八项规定和各项财经纪律，确保每一项支出经得住历史考验。</w:t>
      </w:r>
    </w:p>
    <w:p>
      <w:pPr>
        <w:ind w:left="641"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3、加强绩效运行监控,实施全过程绩效管理。对绩效目标实现程度和预算执行进度实行“双监控”，发现问题及时纠正，采取有效措施切实加快支出进度，确保绩效目标如期保质保量实现。</w:t>
      </w:r>
    </w:p>
    <w:p>
      <w:pPr>
        <w:ind w:left="641"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做好绩效自评，综合运用自评结果。年度预算执行终了，对照年初设定的绩效目标，按要求开展上年度部门预算绩效自评和重点评价工作，对评价中发现的问题及时整改，调整优化支出结构，提高财政资金使用效益。充分利用自评结果，指导本部门下一年度项目经费使用。</w:t>
      </w:r>
    </w:p>
    <w:p>
      <w:pPr>
        <w:ind w:left="641"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加强内部监督与审计，规范资金使用。加强内部监督与审计制度建设，对绩效运行情况、重大支出决策、资产处置及其他重要经济业务事项的决策和执行进行督导，对会计资料进行内部审计，并配合做好审计、财政监督等外部监督工作，确保财政资金安全有效。</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第二部分  专项资金绩效目标：</w:t>
      </w:r>
    </w:p>
    <w:p>
      <w:pPr>
        <w:ind w:firstLine="56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1、中央提前下达-民党派专项绩效目标表</w:t>
      </w:r>
    </w:p>
    <w:tbl>
      <w:tblPr>
        <w:tblStyle w:val="12"/>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827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利用中央转移支付资金，通过考察、调研，组织培训、会议等，做好参政议政、民主监督工作。</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通过开展</w:t>
            </w:r>
            <w:bookmarkStart w:id="2" w:name="_GoBack"/>
            <w:bookmarkEnd w:id="2"/>
            <w:r>
              <w:rPr>
                <w:rFonts w:hint="eastAsia" w:ascii="方正书宋_GBK" w:eastAsia="方正书宋_GBK"/>
              </w:rPr>
              <w:t>多种形式的工作，为广大党员特别是党员中的政协委员、人大代表积极履职提供必要的经费保障，从而为我省转变经济发展方式、科学发展建言献策，为领导科学决策提供参考。</w:t>
            </w:r>
          </w:p>
        </w:tc>
      </w:tr>
    </w:tbl>
    <w:p>
      <w:pPr>
        <w:spacing w:line="14" w:lineRule="exact"/>
        <w:ind w:firstLine="420" w:firstLineChars="200"/>
        <w:jc w:val="center"/>
        <w:rPr>
          <w:rFonts w:ascii="Times New Roman" w:hAnsi="宋体"/>
        </w:rPr>
      </w:pPr>
      <w:r>
        <w:rPr>
          <w:rFonts w:ascii="方正书宋_GBK" w:eastAsia="方正书宋_GBK"/>
        </w:rPr>
        <w:t xml:space="preserve"> </w:t>
      </w:r>
    </w:p>
    <w:tbl>
      <w:tblPr>
        <w:tblStyle w:val="12"/>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开展重点课题调研次数</w:t>
            </w:r>
          </w:p>
        </w:tc>
        <w:tc>
          <w:tcPr>
            <w:tcW w:w="28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开展中央、省级重点课题调研次数</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4</w:t>
            </w:r>
            <w:r>
              <w:rPr>
                <w:rFonts w:hint="eastAsia" w:ascii="方正书宋_GBK" w:eastAsia="方正书宋_GBK"/>
              </w:rPr>
              <w:t>次</w:t>
            </w:r>
          </w:p>
        </w:tc>
        <w:tc>
          <w:tcPr>
            <w:tcW w:w="170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近三年历史均值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信息采用率</w:t>
            </w:r>
          </w:p>
        </w:tc>
        <w:tc>
          <w:tcPr>
            <w:tcW w:w="28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向农工党中央、省委、省政协提交调研报告、社情民意信息采用率</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60%</w:t>
            </w:r>
          </w:p>
        </w:tc>
        <w:tc>
          <w:tcPr>
            <w:tcW w:w="170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近三年历史均值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按工作计划完成比例</w:t>
            </w:r>
          </w:p>
        </w:tc>
        <w:tc>
          <w:tcPr>
            <w:tcW w:w="28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各类报告、大会发言、信息稿件按工作计划完成比例</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近三年历史均值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支出总成本不超过项目年度预算</w:t>
            </w:r>
          </w:p>
        </w:tc>
        <w:tc>
          <w:tcPr>
            <w:tcW w:w="28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支出总成本不超过项目年度预算</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24</w:t>
            </w:r>
            <w:r>
              <w:rPr>
                <w:rFonts w:hint="eastAsia" w:ascii="方正书宋_GBK" w:eastAsia="方正书宋_GBK"/>
              </w:rPr>
              <w:t>万元</w:t>
            </w:r>
          </w:p>
        </w:tc>
        <w:tc>
          <w:tcPr>
            <w:tcW w:w="170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部门年度预算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为推动相关工作营造良好氛围</w:t>
            </w:r>
          </w:p>
        </w:tc>
        <w:tc>
          <w:tcPr>
            <w:tcW w:w="28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为推动全省农工党党员积极参政议政、民主监督、正确履职营造良好氛围</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良好</w:t>
            </w:r>
          </w:p>
        </w:tc>
        <w:tc>
          <w:tcPr>
            <w:tcW w:w="170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本部门工作计划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活动参与满意度</w:t>
            </w:r>
          </w:p>
        </w:tc>
        <w:tc>
          <w:tcPr>
            <w:tcW w:w="28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活动参与满意度</w:t>
            </w:r>
          </w:p>
        </w:tc>
        <w:tc>
          <w:tcPr>
            <w:tcW w:w="12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调查问卷</w:t>
            </w:r>
          </w:p>
        </w:tc>
      </w:tr>
    </w:tbl>
    <w:p>
      <w:pPr>
        <w:ind w:firstLine="560"/>
        <w:rPr>
          <w:rFonts w:ascii="Times New Roman" w:hAnsi="Times New Roman" w:eastAsia="方正仿宋_GBK" w:cs="Times New Roman"/>
          <w:sz w:val="32"/>
          <w:szCs w:val="32"/>
        </w:rPr>
      </w:pPr>
    </w:p>
    <w:bookmarkEnd w:id="0"/>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六、政府采购预算情况</w:t>
      </w:r>
    </w:p>
    <w:p>
      <w:pPr>
        <w:ind w:firstLine="640" w:firstLineChars="200"/>
        <w:outlineLvl w:val="0"/>
        <w:rPr>
          <w:rFonts w:ascii="Times New Roman" w:hAnsi="Times New Roman" w:eastAsia="方正仿宋_GBK" w:cs="Times New Roman"/>
          <w:sz w:val="32"/>
          <w:szCs w:val="24"/>
        </w:rPr>
      </w:pPr>
      <w:bookmarkStart w:id="1" w:name="_Toc471398468"/>
      <w:r>
        <w:rPr>
          <w:rFonts w:ascii="Times New Roman" w:hAnsi="Times New Roman" w:eastAsia="方正仿宋_GBK" w:cs="Times New Roman"/>
          <w:sz w:val="32"/>
          <w:szCs w:val="24"/>
        </w:rPr>
        <w:t>2021年，</w:t>
      </w:r>
      <w:r>
        <w:rPr>
          <w:rFonts w:hint="eastAsia" w:ascii="Times New Roman" w:hAnsi="Times New Roman" w:eastAsia="方正仿宋_GBK" w:cs="Times New Roman"/>
          <w:sz w:val="32"/>
          <w:szCs w:val="24"/>
        </w:rPr>
        <w:t>中国农工民主党河北省委员会</w:t>
      </w:r>
      <w:r>
        <w:rPr>
          <w:rFonts w:ascii="Times New Roman" w:hAnsi="Times New Roman" w:eastAsia="方正仿宋_GBK" w:cs="Times New Roman"/>
          <w:sz w:val="32"/>
          <w:szCs w:val="24"/>
        </w:rPr>
        <w:t>安排政府采购预算</w:t>
      </w:r>
      <w:r>
        <w:rPr>
          <w:rFonts w:hint="eastAsia" w:ascii="Times New Roman" w:hAnsi="Times New Roman" w:eastAsia="方正仿宋_GBK" w:cs="Times New Roman"/>
          <w:sz w:val="32"/>
          <w:szCs w:val="24"/>
        </w:rPr>
        <w:t>5.26</w:t>
      </w:r>
      <w:r>
        <w:rPr>
          <w:rFonts w:ascii="Times New Roman" w:hAnsi="Times New Roman" w:eastAsia="方正仿宋_GBK" w:cs="Times New Roman"/>
          <w:sz w:val="32"/>
          <w:szCs w:val="24"/>
        </w:rPr>
        <w:t>万元。具体内容见下表。</w:t>
      </w:r>
    </w:p>
    <w:p>
      <w:pPr>
        <w:jc w:val="center"/>
        <w:outlineLvl w:val="0"/>
        <w:rPr>
          <w:rFonts w:hint="eastAsia" w:ascii="方正小标宋_GBK" w:hAnsi="Times New Roman" w:eastAsia="方正小标宋_GBK" w:cs="Times New Roman"/>
          <w:sz w:val="32"/>
          <w:szCs w:val="24"/>
        </w:rPr>
      </w:pPr>
    </w:p>
    <w:p>
      <w:pPr>
        <w:jc w:val="center"/>
        <w:outlineLvl w:val="0"/>
        <w:rPr>
          <w:rFonts w:hint="eastAsia" w:ascii="方正小标宋_GBK" w:hAnsi="Times New Roman" w:eastAsia="方正小标宋_GBK" w:cs="Times New Roman"/>
          <w:sz w:val="32"/>
          <w:szCs w:val="24"/>
        </w:rPr>
      </w:pPr>
    </w:p>
    <w:p>
      <w:pPr>
        <w:jc w:val="center"/>
        <w:outlineLvl w:val="0"/>
        <w:rPr>
          <w:rFonts w:ascii="方正小标宋_GBK" w:hAnsi="Times New Roman" w:eastAsia="方正小标宋_GBK" w:cs="Times New Roman"/>
          <w:sz w:val="32"/>
          <w:szCs w:val="24"/>
        </w:rPr>
      </w:pPr>
      <w:r>
        <w:rPr>
          <w:rFonts w:hint="eastAsia" w:ascii="方正小标宋_GBK" w:hAnsi="Times New Roman" w:eastAsia="方正小标宋_GBK" w:cs="Times New Roman"/>
          <w:sz w:val="32"/>
          <w:szCs w:val="24"/>
        </w:rPr>
        <w:t>部门政府采购预算</w:t>
      </w:r>
      <w:bookmarkEnd w:id="1"/>
    </w:p>
    <w:tbl>
      <w:tblPr>
        <w:tblStyle w:val="12"/>
        <w:tblW w:w="15507"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hint="eastAsia" w:ascii="方正小标宋_GBK" w:eastAsia="方正小标宋_GBK"/>
                <w:sz w:val="24"/>
              </w:rPr>
              <w:t xml:space="preserve">部门编码  </w:t>
            </w:r>
            <w:r>
              <w:rPr>
                <w:rFonts w:ascii="方正小标宋_GBK" w:eastAsia="方正小标宋_GBK"/>
                <w:sz w:val="24"/>
              </w:rPr>
              <w:t>河北省</w:t>
            </w:r>
            <w:r>
              <w:rPr>
                <w:rFonts w:hint="eastAsia" w:ascii="方正小标宋_GBK" w:eastAsia="方正小标宋_GBK"/>
                <w:sz w:val="24"/>
              </w:rPr>
              <w:t>****</w:t>
            </w:r>
            <w:r>
              <w:rPr>
                <w:rFonts w:ascii="方正小标宋_GBK" w:eastAsia="方正小标宋_GBK"/>
                <w:sz w:val="24"/>
              </w:rPr>
              <w:t>厅</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sz w:val="24"/>
              </w:rPr>
            </w:pPr>
            <w:r>
              <w:rPr>
                <w:rFonts w:hint="eastAsia" w:ascii="方正书宋_GBK" w:eastAsia="方正书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3118"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0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计量</w:t>
            </w:r>
            <w:r>
              <w:rPr>
                <w:rFonts w:ascii="方正书宋_GBK" w:eastAsia="方正书宋_GBK"/>
                <w:b/>
              </w:rPr>
              <w:t xml:space="preserve">  单位</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804" w:type="dxa"/>
            <w:gridSpan w:val="6"/>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政府采购金额（当年部门预算安排资金）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1134" w:type="dxa"/>
            <w:shd w:val="clear" w:color="auto" w:fill="auto"/>
            <w:vAlign w:val="center"/>
          </w:tcPr>
          <w:p>
            <w:pPr>
              <w:spacing w:line="300" w:lineRule="exact"/>
              <w:jc w:val="center"/>
              <w:rPr>
                <w:rFonts w:hint="eastAsia" w:ascii="方正书宋_GBK" w:eastAsia="方正书宋_GBK"/>
                <w:b/>
              </w:rPr>
            </w:pPr>
            <w:r>
              <w:rPr>
                <w:rFonts w:hint="eastAsia" w:ascii="方正书宋_GBK" w:eastAsia="方正书宋_GBK"/>
                <w:b/>
              </w:rPr>
              <w:t>预算资金</w:t>
            </w:r>
          </w:p>
          <w:p>
            <w:pPr>
              <w:spacing w:line="300" w:lineRule="exact"/>
              <w:jc w:val="center"/>
              <w:rPr>
                <w:rFonts w:ascii="方正书宋_GBK" w:eastAsia="方正书宋_GBK"/>
                <w:b/>
              </w:rPr>
            </w:pPr>
          </w:p>
        </w:tc>
        <w:tc>
          <w:tcPr>
            <w:tcW w:w="1531" w:type="dxa"/>
            <w:vMerge w:val="continue"/>
            <w:shd w:val="clear" w:color="auto" w:fill="auto"/>
            <w:vAlign w:val="center"/>
          </w:tcPr>
          <w:p>
            <w:pPr>
              <w:spacing w:line="300" w:lineRule="exact"/>
              <w:jc w:val="left"/>
              <w:outlineLvl w:val="1"/>
              <w:rPr>
                <w:rFonts w:ascii="Times New Roman" w:eastAsia="方正仿宋_GBK"/>
                <w:sz w:val="28"/>
              </w:rPr>
            </w:pPr>
          </w:p>
        </w:tc>
        <w:tc>
          <w:tcPr>
            <w:tcW w:w="1531" w:type="dxa"/>
            <w:vMerge w:val="continue"/>
            <w:shd w:val="clear" w:color="auto" w:fill="auto"/>
            <w:vAlign w:val="center"/>
          </w:tcPr>
          <w:p>
            <w:pPr>
              <w:spacing w:line="300" w:lineRule="exact"/>
              <w:jc w:val="left"/>
              <w:outlineLvl w:val="1"/>
              <w:rPr>
                <w:rFonts w:ascii="Times New Roman" w:eastAsia="方正仿宋_GBK"/>
                <w:sz w:val="28"/>
              </w:rPr>
            </w:pPr>
          </w:p>
        </w:tc>
        <w:tc>
          <w:tcPr>
            <w:tcW w:w="709" w:type="dxa"/>
            <w:vMerge w:val="continue"/>
            <w:shd w:val="clear" w:color="auto" w:fill="auto"/>
            <w:vAlign w:val="center"/>
          </w:tcPr>
          <w:p>
            <w:pPr>
              <w:spacing w:line="300" w:lineRule="exact"/>
              <w:jc w:val="left"/>
              <w:outlineLvl w:val="1"/>
              <w:rPr>
                <w:rFonts w:ascii="Times New Roman" w:eastAsia="方正仿宋_GBK"/>
                <w:sz w:val="28"/>
              </w:rPr>
            </w:pPr>
          </w:p>
        </w:tc>
        <w:tc>
          <w:tcPr>
            <w:tcW w:w="907" w:type="dxa"/>
            <w:vMerge w:val="continue"/>
            <w:shd w:val="clear" w:color="auto" w:fill="auto"/>
            <w:vAlign w:val="center"/>
          </w:tcPr>
          <w:p>
            <w:pPr>
              <w:spacing w:line="300" w:lineRule="exact"/>
              <w:jc w:val="left"/>
              <w:outlineLvl w:val="1"/>
              <w:rPr>
                <w:rFonts w:ascii="Times New Roman" w:eastAsia="方正仿宋_GBK"/>
                <w:sz w:val="28"/>
              </w:rPr>
            </w:pPr>
          </w:p>
        </w:tc>
        <w:tc>
          <w:tcPr>
            <w:tcW w:w="907" w:type="dxa"/>
            <w:vMerge w:val="continue"/>
            <w:shd w:val="clear" w:color="auto" w:fill="auto"/>
            <w:vAlign w:val="center"/>
          </w:tcPr>
          <w:p>
            <w:pPr>
              <w:spacing w:line="300" w:lineRule="exact"/>
              <w:jc w:val="left"/>
              <w:outlineLvl w:val="1"/>
              <w:rPr>
                <w:rFonts w:ascii="Times New Roman" w:eastAsia="方正仿宋_GBK"/>
                <w:sz w:val="28"/>
              </w:rPr>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  计</w:t>
            </w: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5.26</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5.26</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中国农工民主党河北省委员会本级小计</w:t>
            </w: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5.26</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5.26</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日常公用经费</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78.29</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便携式计算机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A02010105</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0.60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1.20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1.20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日常公用经费</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78.29</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其他基础软件</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A0201080199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套</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12</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0.20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2.40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2.40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left"/>
              <w:rPr>
                <w:rFonts w:ascii="方正书宋_GBK" w:eastAsia="方正书宋_GBK"/>
                <w:b/>
              </w:rPr>
            </w:pPr>
            <w:r>
              <w:rPr>
                <w:rFonts w:hint="eastAsia" w:ascii="方正书宋_GBK" w:eastAsia="方正书宋_GBK"/>
              </w:rPr>
              <w:t>日常公用经费</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78.29</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通用应用软件</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A0201080301</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套</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9</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0.10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0.90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0.90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日常公用经费</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78.29</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木骨架为主的椅凳类</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A060302</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个</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4</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0.06</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0.24</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0.24</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日常公用经费</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78.29</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木骨架沙发类</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A060402</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个</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0.20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0.40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0.40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日常公用经费</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78.29</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金属质柜类</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A060503</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组</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0.12</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0.12</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0.12</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autoSpaceDE w:val="0"/>
        <w:autoSpaceDN w:val="0"/>
        <w:adjustRightInd w:val="0"/>
        <w:ind w:left="198" w:firstLine="640" w:firstLineChars="200"/>
        <w:jc w:val="left"/>
        <w:rPr>
          <w:rFonts w:ascii="黑体" w:hAnsi="黑体" w:eastAsia="黑体" w:cs="Times New Roman"/>
          <w:sz w:val="32"/>
          <w:szCs w:val="32"/>
        </w:rPr>
      </w:pP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七、国有资产信息</w:t>
      </w:r>
    </w:p>
    <w:p>
      <w:pPr>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中国农工民主党河北省委员会（含所属单位）上年末固定资产金额为</w:t>
      </w:r>
      <w:r>
        <w:rPr>
          <w:rFonts w:hint="eastAsia" w:ascii="Times New Roman" w:hAnsi="Times New Roman" w:eastAsia="方正仿宋_GBK" w:cs="Times New Roman"/>
          <w:sz w:val="32"/>
          <w:szCs w:val="32"/>
        </w:rPr>
        <w:t>74.08</w:t>
      </w:r>
      <w:r>
        <w:rPr>
          <w:rFonts w:hint="eastAsia" w:ascii="仿宋_GB2312" w:hAnsi="黑体" w:eastAsia="仿宋_GB2312" w:cs="Times New Roman"/>
          <w:sz w:val="32"/>
          <w:szCs w:val="32"/>
        </w:rPr>
        <w:t>万元（</w:t>
      </w:r>
      <w:r>
        <w:rPr>
          <w:rFonts w:hint="eastAsia" w:ascii="Times New Roman" w:hAnsi="Times New Roman" w:eastAsia="方正仿宋_GBK" w:cs="Times New Roman"/>
          <w:sz w:val="32"/>
          <w:szCs w:val="32"/>
        </w:rPr>
        <w:t>详见下表），</w:t>
      </w:r>
      <w:r>
        <w:rPr>
          <w:rFonts w:hint="eastAsia" w:ascii="仿宋_GB2312" w:hAnsi="黑体" w:eastAsia="仿宋_GB2312" w:cs="Times New Roman"/>
          <w:sz w:val="32"/>
          <w:szCs w:val="32"/>
        </w:rPr>
        <w:t>本年度各单位（处室）拟购置固定资产</w:t>
      </w:r>
      <w:r>
        <w:rPr>
          <w:rFonts w:hint="eastAsia" w:ascii="Times New Roman" w:hAnsi="Times New Roman" w:eastAsia="方正仿宋_GBK" w:cs="Times New Roman"/>
          <w:sz w:val="32"/>
          <w:szCs w:val="32"/>
        </w:rPr>
        <w:t>总额为5.26万元，</w:t>
      </w:r>
      <w:r>
        <w:rPr>
          <w:rFonts w:hint="eastAsia" w:ascii="仿宋_GB2312" w:hAnsi="黑体" w:eastAsia="仿宋_GB2312" w:cs="Times New Roman"/>
          <w:sz w:val="32"/>
          <w:szCs w:val="32"/>
        </w:rPr>
        <w:t>主要为计算机设备、办公软件、办公家具等，已列入政府采购预算，详见政府采购预算表。</w:t>
      </w:r>
    </w:p>
    <w:tbl>
      <w:tblPr>
        <w:tblStyle w:val="12"/>
        <w:tblW w:w="13482" w:type="dxa"/>
        <w:tblInd w:w="93" w:type="dxa"/>
        <w:tblLayout w:type="fixed"/>
        <w:tblCellMar>
          <w:top w:w="0" w:type="dxa"/>
          <w:left w:w="108" w:type="dxa"/>
          <w:bottom w:w="0" w:type="dxa"/>
          <w:right w:w="108" w:type="dxa"/>
        </w:tblCellMar>
      </w:tblPr>
      <w:tblGrid>
        <w:gridCol w:w="5224"/>
        <w:gridCol w:w="3155"/>
        <w:gridCol w:w="5103"/>
      </w:tblGrid>
      <w:tr>
        <w:tblPrEx>
          <w:tblLayout w:type="fixed"/>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shd w:val="clear" w:color="auto" w:fill="auto"/>
            <w:noWrap/>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河北省省直部门固定资产占用情况表</w:t>
            </w:r>
          </w:p>
        </w:tc>
      </w:tr>
      <w:tr>
        <w:tblPrEx>
          <w:tblLayout w:type="fixed"/>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编制部门：中国农工民主党河北省委员会</w:t>
            </w:r>
          </w:p>
        </w:tc>
        <w:tc>
          <w:tcPr>
            <w:tcW w:w="5103"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截止时间：2020年12月31日  </w:t>
            </w:r>
          </w:p>
        </w:tc>
      </w:tr>
      <w:tr>
        <w:tblPrEx>
          <w:tblLayout w:type="fixed"/>
          <w:tblCellMar>
            <w:top w:w="0" w:type="dxa"/>
            <w:left w:w="108" w:type="dxa"/>
            <w:bottom w:w="0" w:type="dxa"/>
            <w:right w:w="108" w:type="dxa"/>
          </w:tblCellMar>
        </w:tblPrEx>
        <w:trPr>
          <w:trHeight w:val="645" w:hRule="atLeast"/>
        </w:trPr>
        <w:tc>
          <w:tcPr>
            <w:tcW w:w="52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项   目</w:t>
            </w:r>
          </w:p>
        </w:tc>
        <w:tc>
          <w:tcPr>
            <w:tcW w:w="315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数量</w:t>
            </w:r>
          </w:p>
        </w:tc>
        <w:tc>
          <w:tcPr>
            <w:tcW w:w="510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价值（金额单位：万元）</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资产总额</w:t>
            </w:r>
          </w:p>
        </w:tc>
        <w:tc>
          <w:tcPr>
            <w:tcW w:w="315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w:t>
            </w:r>
          </w:p>
        </w:tc>
        <w:tc>
          <w:tcPr>
            <w:tcW w:w="5103"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hint="eastAsia" w:ascii="Times New Roman" w:hAnsi="Times New Roman" w:eastAsia="宋体" w:cs="Times New Roman"/>
                <w:kern w:val="0"/>
                <w:sz w:val="22"/>
              </w:rPr>
              <w:t>74.08</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1、房屋（平方米）</w:t>
            </w:r>
          </w:p>
        </w:tc>
        <w:tc>
          <w:tcPr>
            <w:tcW w:w="315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p>
        </w:tc>
        <w:tc>
          <w:tcPr>
            <w:tcW w:w="5103"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其中：办公用房（平方米）</w:t>
            </w:r>
          </w:p>
        </w:tc>
        <w:tc>
          <w:tcPr>
            <w:tcW w:w="315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p>
        </w:tc>
        <w:tc>
          <w:tcPr>
            <w:tcW w:w="5103"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2、车辆（台、辆）</w:t>
            </w:r>
          </w:p>
        </w:tc>
        <w:tc>
          <w:tcPr>
            <w:tcW w:w="315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r>
              <w:rPr>
                <w:rFonts w:hint="eastAsia" w:ascii="Times New Roman" w:hAnsi="Times New Roman" w:cs="Times New Roman"/>
                <w:sz w:val="22"/>
              </w:rPr>
              <w:t>1</w:t>
            </w:r>
          </w:p>
        </w:tc>
        <w:tc>
          <w:tcPr>
            <w:tcW w:w="5103"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r>
              <w:rPr>
                <w:rFonts w:hint="eastAsia" w:ascii="Times New Roman" w:hAnsi="Times New Roman" w:cs="Times New Roman"/>
                <w:sz w:val="22"/>
              </w:rPr>
              <w:t>24.45</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3、单价在20万元以上的设备</w:t>
            </w:r>
          </w:p>
        </w:tc>
        <w:tc>
          <w:tcPr>
            <w:tcW w:w="315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p>
        </w:tc>
        <w:tc>
          <w:tcPr>
            <w:tcW w:w="5103"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4、其他固定资产</w:t>
            </w:r>
          </w:p>
        </w:tc>
        <w:tc>
          <w:tcPr>
            <w:tcW w:w="315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p>
        </w:tc>
        <w:tc>
          <w:tcPr>
            <w:tcW w:w="5103"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sz w:val="22"/>
              </w:rPr>
            </w:pPr>
            <w:r>
              <w:rPr>
                <w:rFonts w:hint="eastAsia" w:ascii="Times New Roman" w:hAnsi="Times New Roman" w:cs="Times New Roman"/>
                <w:sz w:val="22"/>
              </w:rPr>
              <w:t>49.63</w:t>
            </w:r>
          </w:p>
        </w:tc>
      </w:tr>
    </w:tbl>
    <w:p>
      <w:p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八、名词解释</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1、一般</w:t>
      </w:r>
      <w:r>
        <w:rPr>
          <w:rFonts w:hint="eastAsia" w:ascii="Times New Roman" w:hAnsi="Times New Roman" w:eastAsia="方正仿宋_GBK" w:cs="Times New Roman"/>
          <w:b/>
          <w:sz w:val="32"/>
          <w:szCs w:val="32"/>
        </w:rPr>
        <w:t>公</w:t>
      </w:r>
      <w:r>
        <w:rPr>
          <w:rFonts w:ascii="Times New Roman" w:hAnsi="Times New Roman" w:eastAsia="方正仿宋_GBK" w:cs="Times New Roman"/>
          <w:b/>
          <w:sz w:val="32"/>
          <w:szCs w:val="32"/>
        </w:rPr>
        <w:t>共预算拨款收入：</w:t>
      </w:r>
      <w:r>
        <w:rPr>
          <w:rFonts w:ascii="Times New Roman" w:hAnsi="Times New Roman" w:eastAsia="方正仿宋_GBK" w:cs="Times New Roman"/>
          <w:sz w:val="32"/>
          <w:szCs w:val="32"/>
        </w:rPr>
        <w:t>指省级财政当年拨付的资金。</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2、事业收入：</w:t>
      </w:r>
      <w:r>
        <w:rPr>
          <w:rFonts w:ascii="Times New Roman" w:hAnsi="Times New Roman" w:eastAsia="方正仿宋_GBK" w:cs="Times New Roman"/>
          <w:sz w:val="32"/>
          <w:szCs w:val="32"/>
        </w:rPr>
        <w:t>指事业单位开展专业业务活动及辅助活动所取得的收入。</w:t>
      </w:r>
    </w:p>
    <w:p>
      <w:pPr>
        <w:tabs>
          <w:tab w:val="left" w:pos="11490"/>
        </w:tabs>
        <w:ind w:firstLine="640"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3、其他收入：</w:t>
      </w:r>
      <w:r>
        <w:rPr>
          <w:rFonts w:ascii="Times New Roman" w:hAnsi="Times New Roman" w:eastAsia="方正仿宋_GBK" w:cs="Times New Roman"/>
          <w:sz w:val="32"/>
          <w:szCs w:val="32"/>
        </w:rPr>
        <w:t>指除“</w:t>
      </w:r>
      <w:r>
        <w:rPr>
          <w:rFonts w:hint="eastAsia" w:ascii="Times New Roman" w:hAnsi="Times New Roman" w:eastAsia="方正仿宋_GBK" w:cs="Times New Roman"/>
          <w:sz w:val="32"/>
          <w:szCs w:val="32"/>
        </w:rPr>
        <w:t>一般公共预算</w:t>
      </w:r>
      <w:r>
        <w:rPr>
          <w:rFonts w:ascii="Times New Roman" w:hAnsi="Times New Roman" w:eastAsia="方正仿宋_GBK" w:cs="Times New Roman"/>
          <w:sz w:val="32"/>
          <w:szCs w:val="32"/>
        </w:rPr>
        <w:t>拨款收入”、“事业收入”等以外的收入。主要是按规定动用的租房收入、存款利息收入等。</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4、基本支出：</w:t>
      </w:r>
      <w:r>
        <w:rPr>
          <w:rFonts w:hint="eastAsia" w:ascii="Times New Roman" w:hAnsi="Times New Roman" w:eastAsia="方正仿宋_GBK" w:cs="Times New Roman"/>
          <w:sz w:val="32"/>
          <w:szCs w:val="32"/>
        </w:rPr>
        <w:t>指为保障机构正常运转、完成日常工作任务而发生的人员支出和公用支出。</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5、项目支出：</w:t>
      </w:r>
      <w:r>
        <w:rPr>
          <w:rFonts w:hint="eastAsia" w:ascii="Times New Roman" w:hAnsi="Times New Roman" w:eastAsia="方正仿宋_GBK" w:cs="Times New Roman"/>
          <w:sz w:val="32"/>
          <w:szCs w:val="32"/>
        </w:rPr>
        <w:t>指在基本支出之外为完成特定行政任务和事业发展目标所发生的支出。</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6、上缴上级支出：</w:t>
      </w:r>
      <w:r>
        <w:rPr>
          <w:rFonts w:hint="eastAsia" w:ascii="Times New Roman" w:hAnsi="Times New Roman" w:eastAsia="方正仿宋_GBK" w:cs="Times New Roman"/>
          <w:sz w:val="32"/>
          <w:szCs w:val="32"/>
        </w:rPr>
        <w:t>指下级单位上缴上级的支出。</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7、“三公”经费：</w:t>
      </w:r>
      <w:r>
        <w:rPr>
          <w:rFonts w:ascii="Times New Roman" w:hAnsi="Times New Roman" w:eastAsia="方正仿宋_GBK" w:cs="Times New Roman"/>
          <w:sz w:val="32"/>
          <w:szCs w:val="32"/>
        </w:rPr>
        <w:t>纳入省级财政预算管理的“三公”经费，是指省级部门用财政拨款安排的因公出国（境）费、公务用车购置及运</w:t>
      </w:r>
      <w:r>
        <w:rPr>
          <w:rFonts w:hint="eastAsia" w:ascii="Times New Roman" w:hAnsi="Times New Roman" w:eastAsia="方正仿宋_GBK" w:cs="Times New Roman"/>
          <w:sz w:val="32"/>
          <w:szCs w:val="32"/>
        </w:rPr>
        <w:t>维</w:t>
      </w:r>
      <w:r>
        <w:rPr>
          <w:rFonts w:ascii="Times New Roman" w:hAnsi="Times New Roman" w:eastAsia="方正仿宋_GBK" w:cs="Times New Roman"/>
          <w:sz w:val="32"/>
          <w:szCs w:val="32"/>
        </w:rPr>
        <w:t>费和公务接待费。其中，因公出国（境）费反映单位公务出国（境）的住宿费、旅费、伙食补助费、杂费、培训费等支出；公务用车购置及运</w:t>
      </w:r>
      <w:r>
        <w:rPr>
          <w:rFonts w:hint="eastAsia" w:ascii="Times New Roman" w:hAnsi="Times New Roman" w:eastAsia="方正仿宋_GBK" w:cs="Times New Roman"/>
          <w:sz w:val="32"/>
          <w:szCs w:val="32"/>
        </w:rPr>
        <w:t>维</w:t>
      </w:r>
      <w:r>
        <w:rPr>
          <w:rFonts w:ascii="Times New Roman" w:hAnsi="Times New Roman" w:eastAsia="方正仿宋_GBK" w:cs="Times New Roman"/>
          <w:sz w:val="32"/>
          <w:szCs w:val="32"/>
        </w:rPr>
        <w:t>费反映单位公务用车购置费及租用费、燃料费、维修费、过路过桥费、保险费、安全奖励费用等支出；公务接待费反映单位按规定开支的各类公务接待（含外宾接待）支出。</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8、机关运行费：</w:t>
      </w:r>
      <w:r>
        <w:rPr>
          <w:rFonts w:hint="eastAsia" w:ascii="Times New Roman" w:hAnsi="Times New Roman" w:eastAsia="方正仿宋_GBK" w:cs="Times New Roman"/>
          <w:sz w:val="32"/>
          <w:szCs w:val="32"/>
        </w:rPr>
        <w:t>是指各部门的公用经费，包括办公及印刷费、邮电费、差旅费、会议费、福利费、日常维修费、专用材料及一般设备购置费、办公用房水电费、办公用房取暖费、办公用房物业管理费、公务用车运行维护费以及</w:t>
      </w:r>
      <w:r>
        <w:rPr>
          <w:rFonts w:ascii="Times New Roman" w:hAnsi="Times New Roman" w:eastAsia="方正仿宋_GBK" w:cs="Times New Roman"/>
          <w:sz w:val="32"/>
          <w:szCs w:val="32"/>
        </w:rPr>
        <w:t>其他费用。</w:t>
      </w:r>
    </w:p>
    <w:p>
      <w:pPr>
        <w:tabs>
          <w:tab w:val="left" w:pos="11490"/>
        </w:tabs>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b/>
          <w:sz w:val="32"/>
          <w:szCs w:val="32"/>
        </w:rPr>
        <w:t>9、上年结转：</w:t>
      </w:r>
      <w:r>
        <w:rPr>
          <w:rFonts w:hint="eastAsia" w:ascii="Times New Roman" w:hAnsi="Times New Roman" w:eastAsia="方正仿宋_GBK" w:cs="Times New Roman"/>
          <w:sz w:val="32"/>
          <w:szCs w:val="32"/>
        </w:rPr>
        <w:t>指以前年度尚未完成、结转到本年仍按原规定用途继续使用的资金。</w:t>
      </w: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九、其他需要说明的事项</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我部门无其他需要说明的事项。</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A2ABFB"/>
    <w:multiLevelType w:val="singleLevel"/>
    <w:tmpl w:val="9BA2ABFB"/>
    <w:lvl w:ilvl="0" w:tentative="0">
      <w:start w:val="3"/>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032"/>
    <w:rsid w:val="00034786"/>
    <w:rsid w:val="00037AF6"/>
    <w:rsid w:val="000405D0"/>
    <w:rsid w:val="0004257D"/>
    <w:rsid w:val="00042F57"/>
    <w:rsid w:val="0006483E"/>
    <w:rsid w:val="00075D5F"/>
    <w:rsid w:val="0008102F"/>
    <w:rsid w:val="00087AAF"/>
    <w:rsid w:val="000B529B"/>
    <w:rsid w:val="000C3A19"/>
    <w:rsid w:val="000E617A"/>
    <w:rsid w:val="00104D5C"/>
    <w:rsid w:val="001245BB"/>
    <w:rsid w:val="001251A3"/>
    <w:rsid w:val="00131EA8"/>
    <w:rsid w:val="00146AA7"/>
    <w:rsid w:val="0018714B"/>
    <w:rsid w:val="0019071F"/>
    <w:rsid w:val="001B4EF3"/>
    <w:rsid w:val="001B5B76"/>
    <w:rsid w:val="001F7873"/>
    <w:rsid w:val="00201B2D"/>
    <w:rsid w:val="00201C06"/>
    <w:rsid w:val="00241FD4"/>
    <w:rsid w:val="00251B12"/>
    <w:rsid w:val="00296113"/>
    <w:rsid w:val="002A673A"/>
    <w:rsid w:val="002C07BE"/>
    <w:rsid w:val="002C5E13"/>
    <w:rsid w:val="002C62BC"/>
    <w:rsid w:val="002C7DF9"/>
    <w:rsid w:val="002E0EB8"/>
    <w:rsid w:val="002F126F"/>
    <w:rsid w:val="002F3E58"/>
    <w:rsid w:val="0030542C"/>
    <w:rsid w:val="00311B7A"/>
    <w:rsid w:val="00340DDE"/>
    <w:rsid w:val="00372FA3"/>
    <w:rsid w:val="003D24CB"/>
    <w:rsid w:val="003D2C83"/>
    <w:rsid w:val="003D417F"/>
    <w:rsid w:val="003F60E9"/>
    <w:rsid w:val="004248B8"/>
    <w:rsid w:val="00424943"/>
    <w:rsid w:val="0043175C"/>
    <w:rsid w:val="0043380A"/>
    <w:rsid w:val="00436327"/>
    <w:rsid w:val="00437296"/>
    <w:rsid w:val="00451590"/>
    <w:rsid w:val="00451871"/>
    <w:rsid w:val="004631FC"/>
    <w:rsid w:val="004706DE"/>
    <w:rsid w:val="00472923"/>
    <w:rsid w:val="00484954"/>
    <w:rsid w:val="00485694"/>
    <w:rsid w:val="0049455E"/>
    <w:rsid w:val="00496109"/>
    <w:rsid w:val="004B0C3A"/>
    <w:rsid w:val="004D5788"/>
    <w:rsid w:val="004E3066"/>
    <w:rsid w:val="004E74CD"/>
    <w:rsid w:val="005069C1"/>
    <w:rsid w:val="00516E04"/>
    <w:rsid w:val="005435BA"/>
    <w:rsid w:val="00565588"/>
    <w:rsid w:val="00572067"/>
    <w:rsid w:val="00573562"/>
    <w:rsid w:val="00590ECE"/>
    <w:rsid w:val="005915C2"/>
    <w:rsid w:val="00592ADD"/>
    <w:rsid w:val="005A2F44"/>
    <w:rsid w:val="005E6954"/>
    <w:rsid w:val="00602878"/>
    <w:rsid w:val="00614A29"/>
    <w:rsid w:val="0061668A"/>
    <w:rsid w:val="00643AA7"/>
    <w:rsid w:val="00653C6B"/>
    <w:rsid w:val="0066346C"/>
    <w:rsid w:val="00673D76"/>
    <w:rsid w:val="00674CD7"/>
    <w:rsid w:val="006854F0"/>
    <w:rsid w:val="0069624B"/>
    <w:rsid w:val="006B1C4A"/>
    <w:rsid w:val="006B610D"/>
    <w:rsid w:val="006D2233"/>
    <w:rsid w:val="006E49F5"/>
    <w:rsid w:val="006E7E97"/>
    <w:rsid w:val="007013C8"/>
    <w:rsid w:val="00717B1E"/>
    <w:rsid w:val="00753836"/>
    <w:rsid w:val="0075393C"/>
    <w:rsid w:val="00754592"/>
    <w:rsid w:val="0077207E"/>
    <w:rsid w:val="00776C08"/>
    <w:rsid w:val="00786726"/>
    <w:rsid w:val="007C180B"/>
    <w:rsid w:val="007C219A"/>
    <w:rsid w:val="007C4F9B"/>
    <w:rsid w:val="007E1DA8"/>
    <w:rsid w:val="007F6C26"/>
    <w:rsid w:val="008123B1"/>
    <w:rsid w:val="00813208"/>
    <w:rsid w:val="008334AE"/>
    <w:rsid w:val="00836FED"/>
    <w:rsid w:val="0083724E"/>
    <w:rsid w:val="00845CD2"/>
    <w:rsid w:val="00852B0D"/>
    <w:rsid w:val="00881692"/>
    <w:rsid w:val="00883D1A"/>
    <w:rsid w:val="008A25C2"/>
    <w:rsid w:val="008A6576"/>
    <w:rsid w:val="008B3CC5"/>
    <w:rsid w:val="008B52CD"/>
    <w:rsid w:val="008E4261"/>
    <w:rsid w:val="008F4662"/>
    <w:rsid w:val="00905D08"/>
    <w:rsid w:val="00925753"/>
    <w:rsid w:val="009425F4"/>
    <w:rsid w:val="00966C5C"/>
    <w:rsid w:val="00973104"/>
    <w:rsid w:val="00995BF0"/>
    <w:rsid w:val="009A16D5"/>
    <w:rsid w:val="009A353D"/>
    <w:rsid w:val="009B0B77"/>
    <w:rsid w:val="009B511E"/>
    <w:rsid w:val="009C271E"/>
    <w:rsid w:val="00A02FED"/>
    <w:rsid w:val="00A44E3D"/>
    <w:rsid w:val="00A62942"/>
    <w:rsid w:val="00A72D2E"/>
    <w:rsid w:val="00A74447"/>
    <w:rsid w:val="00A74CE5"/>
    <w:rsid w:val="00A911E7"/>
    <w:rsid w:val="00A939D9"/>
    <w:rsid w:val="00B07D9E"/>
    <w:rsid w:val="00B20712"/>
    <w:rsid w:val="00B275AD"/>
    <w:rsid w:val="00B43238"/>
    <w:rsid w:val="00B45DD3"/>
    <w:rsid w:val="00B52632"/>
    <w:rsid w:val="00B727A9"/>
    <w:rsid w:val="00B75216"/>
    <w:rsid w:val="00B8011C"/>
    <w:rsid w:val="00B91D52"/>
    <w:rsid w:val="00B9490F"/>
    <w:rsid w:val="00BA1ACD"/>
    <w:rsid w:val="00BA534E"/>
    <w:rsid w:val="00BD09F8"/>
    <w:rsid w:val="00BD4B2D"/>
    <w:rsid w:val="00BE0A64"/>
    <w:rsid w:val="00BE0E8E"/>
    <w:rsid w:val="00C0360F"/>
    <w:rsid w:val="00CA7176"/>
    <w:rsid w:val="00CB3D48"/>
    <w:rsid w:val="00CB4665"/>
    <w:rsid w:val="00CC75B0"/>
    <w:rsid w:val="00CD2773"/>
    <w:rsid w:val="00CD31CC"/>
    <w:rsid w:val="00CE143B"/>
    <w:rsid w:val="00D0024A"/>
    <w:rsid w:val="00D27003"/>
    <w:rsid w:val="00D472FE"/>
    <w:rsid w:val="00DB4A9B"/>
    <w:rsid w:val="00DE0873"/>
    <w:rsid w:val="00E167C7"/>
    <w:rsid w:val="00E2482E"/>
    <w:rsid w:val="00E273A5"/>
    <w:rsid w:val="00E3351B"/>
    <w:rsid w:val="00E41AAA"/>
    <w:rsid w:val="00E61DF2"/>
    <w:rsid w:val="00E66251"/>
    <w:rsid w:val="00E73D47"/>
    <w:rsid w:val="00E82C63"/>
    <w:rsid w:val="00EC47F6"/>
    <w:rsid w:val="00EE65B8"/>
    <w:rsid w:val="00F149E2"/>
    <w:rsid w:val="00F159B6"/>
    <w:rsid w:val="00F66032"/>
    <w:rsid w:val="00F728BF"/>
    <w:rsid w:val="00F72B21"/>
    <w:rsid w:val="00F81434"/>
    <w:rsid w:val="00F87C1E"/>
    <w:rsid w:val="00F958C2"/>
    <w:rsid w:val="00FA3D33"/>
    <w:rsid w:val="00FD351A"/>
    <w:rsid w:val="00FE75D7"/>
    <w:rsid w:val="1C800846"/>
    <w:rsid w:val="31781671"/>
    <w:rsid w:val="5B4D5382"/>
    <w:rsid w:val="661F5572"/>
    <w:rsid w:val="6C8377B5"/>
    <w:rsid w:val="6C9B7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uiPriority w:val="99"/>
    <w:rPr>
      <w:sz w:val="18"/>
      <w:szCs w:val="18"/>
    </w:rPr>
  </w:style>
  <w:style w:type="paragraph" w:styleId="3">
    <w:name w:val="footer"/>
    <w:basedOn w:val="1"/>
    <w:link w:val="14"/>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toc 1"/>
    <w:basedOn w:val="1"/>
    <w:next w:val="1"/>
    <w:qFormat/>
    <w:uiPriority w:val="39"/>
    <w:rPr>
      <w:rFonts w:ascii="Times New Roman" w:hAnsi="Times New Roman" w:eastAsia="宋体" w:cs="Times New Roman"/>
      <w:szCs w:val="24"/>
    </w:rPr>
  </w:style>
  <w:style w:type="paragraph" w:styleId="6">
    <w:name w:val="footnote text"/>
    <w:basedOn w:val="1"/>
    <w:link w:val="17"/>
    <w:semiHidden/>
    <w:unhideWhenUsed/>
    <w:qFormat/>
    <w:uiPriority w:val="99"/>
    <w:pPr>
      <w:snapToGrid w:val="0"/>
      <w:jc w:val="left"/>
    </w:pPr>
    <w:rPr>
      <w:rFonts w:ascii="Calibri" w:hAnsi="Calibri" w:eastAsia="宋体" w:cs="Times New Roman"/>
      <w:sz w:val="18"/>
      <w:szCs w:val="18"/>
    </w:rPr>
  </w:style>
  <w:style w:type="paragraph" w:styleId="7">
    <w:name w:val="toc 2"/>
    <w:basedOn w:val="1"/>
    <w:next w:val="1"/>
    <w:qFormat/>
    <w:uiPriority w:val="39"/>
    <w:pPr>
      <w:ind w:left="420" w:leftChars="200"/>
    </w:pPr>
    <w:rPr>
      <w:rFonts w:ascii="Times New Roman" w:hAnsi="Times New Roman" w:eastAsia="宋体" w:cs="Times New Roman"/>
      <w:szCs w:val="24"/>
    </w:rPr>
  </w:style>
  <w:style w:type="character" w:styleId="9">
    <w:name w:val="page number"/>
    <w:semiHidden/>
    <w:unhideWhenUsed/>
    <w:uiPriority w:val="99"/>
  </w:style>
  <w:style w:type="character" w:styleId="10">
    <w:name w:val="Hyperlink"/>
    <w:unhideWhenUsed/>
    <w:qFormat/>
    <w:uiPriority w:val="99"/>
    <w:rPr>
      <w:color w:val="0000FF"/>
      <w:u w:val="single"/>
    </w:rPr>
  </w:style>
  <w:style w:type="character" w:styleId="11">
    <w:name w:val="footnote reference"/>
    <w:semiHidden/>
    <w:unhideWhenUsed/>
    <w:qFormat/>
    <w:uiPriority w:val="99"/>
    <w:rPr>
      <w:vertAlign w:val="superscript"/>
    </w:rPr>
  </w:style>
  <w:style w:type="character" w:customStyle="1" w:styleId="13">
    <w:name w:val="页眉 Char"/>
    <w:basedOn w:val="8"/>
    <w:link w:val="4"/>
    <w:qFormat/>
    <w:uiPriority w:val="99"/>
    <w:rPr>
      <w:rFonts w:ascii="Times New Roman" w:hAnsi="Times New Roman" w:eastAsia="宋体" w:cs="Times New Roman"/>
      <w:sz w:val="18"/>
      <w:szCs w:val="18"/>
    </w:rPr>
  </w:style>
  <w:style w:type="character" w:customStyle="1" w:styleId="14">
    <w:name w:val="页脚 Char"/>
    <w:basedOn w:val="8"/>
    <w:link w:val="3"/>
    <w:qFormat/>
    <w:uiPriority w:val="99"/>
    <w:rPr>
      <w:rFonts w:ascii="Times New Roman" w:hAnsi="Times New Roman" w:eastAsia="宋体" w:cs="Times New Roman"/>
      <w:sz w:val="18"/>
      <w:szCs w:val="18"/>
    </w:rPr>
  </w:style>
  <w:style w:type="character" w:customStyle="1" w:styleId="15">
    <w:name w:val="批注框文本 Char"/>
    <w:basedOn w:val="8"/>
    <w:link w:val="2"/>
    <w:semiHidden/>
    <w:uiPriority w:val="99"/>
    <w:rPr>
      <w:sz w:val="18"/>
      <w:szCs w:val="18"/>
    </w:rPr>
  </w:style>
  <w:style w:type="paragraph" w:customStyle="1" w:styleId="16">
    <w:name w:val="Defaul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character" w:customStyle="1" w:styleId="17">
    <w:name w:val="脚注文本 Char"/>
    <w:basedOn w:val="8"/>
    <w:link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C47FCC-887C-465C-AC0B-54D4E675C81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835</Words>
  <Characters>4763</Characters>
  <Lines>39</Lines>
  <Paragraphs>11</Paragraphs>
  <TotalTime>17</TotalTime>
  <ScaleCrop>false</ScaleCrop>
  <LinksUpToDate>false</LinksUpToDate>
  <CharactersWithSpaces>5587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2019-01-15T00:52:00Z</dcterms:created>
  <dc:creator>guest</dc:creator>
  <cp:lastModifiedBy>Administrator</cp:lastModifiedBy>
  <cp:lastPrinted>2017-11-09T01:12:00Z</cp:lastPrinted>
  <dcterms:modified xsi:type="dcterms:W3CDTF">2023-08-01T02:56:18Z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